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June 13,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333-269876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6</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AZITRA,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2834</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46-4478536</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 Business Park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Branford, CT 06405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646-6446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Francisco D. Salva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 Business Park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Branford, CT 06405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646-6446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15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3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Daniel K. Donahue, Esq.</w:t>
            </w:r>
          </w:p>
        </w:tc>
        <w:tc>
          <w:tcPr>
            <w:tcW w:w="4920" w:type="dxa"/>
            <w:vAlign w:val="bottom"/>
          </w:tcPr>
          <w:p>
            <w:pPr>
              <w:jc w:val="center"/>
              <w:ind w:left="2531"/>
              <w:spacing w:after="0"/>
              <w:rPr>
                <w:sz w:val="20"/>
                <w:szCs w:val="20"/>
                <w:color w:val="auto"/>
              </w:rPr>
            </w:pPr>
            <w:r>
              <w:rPr>
                <w:rFonts w:ascii="Arial" w:cs="Arial" w:eastAsia="Arial" w:hAnsi="Arial"/>
                <w:sz w:val="18"/>
                <w:szCs w:val="18"/>
                <w:b w:val="1"/>
                <w:bCs w:val="1"/>
                <w:color w:val="auto"/>
                <w:w w:val="94"/>
              </w:rPr>
              <w:t>William N. Haddad, Esq.</w:t>
            </w:r>
          </w:p>
        </w:tc>
      </w:tr>
      <w:tr>
        <w:trPr>
          <w:trHeight w:val="216"/>
        </w:trPr>
        <w:tc>
          <w:tcPr>
            <w:tcW w:w="3100" w:type="dxa"/>
            <w:vAlign w:val="bottom"/>
          </w:tcPr>
          <w:p>
            <w:pPr>
              <w:jc w:val="center"/>
              <w:ind w:right="510"/>
              <w:spacing w:after="0"/>
              <w:rPr>
                <w:sz w:val="20"/>
                <w:szCs w:val="20"/>
                <w:color w:val="auto"/>
              </w:rPr>
            </w:pPr>
            <w:r>
              <w:rPr>
                <w:rFonts w:ascii="Arial" w:cs="Arial" w:eastAsia="Arial" w:hAnsi="Arial"/>
                <w:sz w:val="18"/>
                <w:szCs w:val="18"/>
                <w:b w:val="1"/>
                <w:bCs w:val="1"/>
                <w:color w:val="auto"/>
                <w:w w:val="94"/>
              </w:rPr>
              <w:t>Greenberg Traurig, LLP</w:t>
            </w:r>
          </w:p>
        </w:tc>
        <w:tc>
          <w:tcPr>
            <w:tcW w:w="4920" w:type="dxa"/>
            <w:vAlign w:val="bottom"/>
          </w:tcPr>
          <w:p>
            <w:pPr>
              <w:jc w:val="center"/>
              <w:ind w:left="2531"/>
              <w:spacing w:after="0"/>
              <w:rPr>
                <w:sz w:val="20"/>
                <w:szCs w:val="20"/>
                <w:color w:val="auto"/>
              </w:rPr>
            </w:pPr>
            <w:r>
              <w:rPr>
                <w:rFonts w:ascii="Arial" w:cs="Arial" w:eastAsia="Arial" w:hAnsi="Arial"/>
                <w:sz w:val="18"/>
                <w:szCs w:val="18"/>
                <w:b w:val="1"/>
                <w:bCs w:val="1"/>
                <w:color w:val="auto"/>
                <w:w w:val="91"/>
              </w:rPr>
              <w:t>Arif Soto, Esq.</w:t>
            </w:r>
          </w:p>
        </w:tc>
      </w:tr>
      <w:tr>
        <w:trPr>
          <w:trHeight w:val="214"/>
        </w:trPr>
        <w:tc>
          <w:tcPr>
            <w:tcW w:w="310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18565 Jamboree Road, Suite 500</w:t>
            </w:r>
          </w:p>
        </w:tc>
        <w:tc>
          <w:tcPr>
            <w:tcW w:w="4920" w:type="dxa"/>
            <w:vAlign w:val="bottom"/>
          </w:tcPr>
          <w:p>
            <w:pPr>
              <w:jc w:val="center"/>
              <w:ind w:left="2531"/>
              <w:spacing w:after="0"/>
              <w:rPr>
                <w:sz w:val="20"/>
                <w:szCs w:val="20"/>
                <w:color w:val="auto"/>
              </w:rPr>
            </w:pPr>
            <w:r>
              <w:rPr>
                <w:rFonts w:ascii="Arial" w:cs="Arial" w:eastAsia="Arial" w:hAnsi="Arial"/>
                <w:sz w:val="18"/>
                <w:szCs w:val="18"/>
                <w:b w:val="1"/>
                <w:bCs w:val="1"/>
                <w:color w:val="auto"/>
                <w:w w:val="94"/>
              </w:rPr>
              <w:t>Venable LLP</w:t>
            </w:r>
          </w:p>
        </w:tc>
      </w:tr>
      <w:tr>
        <w:trPr>
          <w:trHeight w:val="223"/>
        </w:trPr>
        <w:tc>
          <w:tcPr>
            <w:tcW w:w="3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Irvine, California 92612</w:t>
            </w:r>
          </w:p>
        </w:tc>
        <w:tc>
          <w:tcPr>
            <w:tcW w:w="4920" w:type="dxa"/>
            <w:vAlign w:val="bottom"/>
          </w:tcPr>
          <w:p>
            <w:pPr>
              <w:jc w:val="center"/>
              <w:ind w:left="2551"/>
              <w:spacing w:after="0" w:line="223" w:lineRule="exact"/>
              <w:rPr>
                <w:sz w:val="20"/>
                <w:szCs w:val="20"/>
                <w:color w:val="auto"/>
              </w:rPr>
            </w:pPr>
            <w:r>
              <w:rPr>
                <w:rFonts w:ascii="Arial" w:cs="Arial" w:eastAsia="Arial" w:hAnsi="Arial"/>
                <w:sz w:val="16"/>
                <w:szCs w:val="16"/>
                <w:b w:val="1"/>
                <w:bCs w:val="1"/>
                <w:color w:val="auto"/>
                <w:w w:val="99"/>
              </w:rPr>
              <w:t>151 W. 42</w:t>
            </w:r>
            <w:r>
              <w:rPr>
                <w:rFonts w:ascii="Arial" w:cs="Arial" w:eastAsia="Arial" w:hAnsi="Arial"/>
                <w:sz w:val="25"/>
                <w:szCs w:val="25"/>
                <w:b w:val="1"/>
                <w:bCs w:val="1"/>
                <w:color w:val="auto"/>
                <w:w w:val="99"/>
                <w:vertAlign w:val="superscript"/>
              </w:rPr>
              <w:t>nd</w:t>
            </w:r>
            <w:r>
              <w:rPr>
                <w:rFonts w:ascii="Arial" w:cs="Arial" w:eastAsia="Arial" w:hAnsi="Arial"/>
                <w:sz w:val="16"/>
                <w:szCs w:val="16"/>
                <w:b w:val="1"/>
                <w:bCs w:val="1"/>
                <w:color w:val="auto"/>
                <w:w w:val="99"/>
              </w:rPr>
              <w:t xml:space="preserve"> Street, 49</w:t>
            </w:r>
            <w:r>
              <w:rPr>
                <w:rFonts w:ascii="Arial" w:cs="Arial" w:eastAsia="Arial" w:hAnsi="Arial"/>
                <w:sz w:val="25"/>
                <w:szCs w:val="25"/>
                <w:b w:val="1"/>
                <w:bCs w:val="1"/>
                <w:color w:val="auto"/>
                <w:w w:val="99"/>
                <w:vertAlign w:val="superscript"/>
              </w:rPr>
              <w:t>th</w:t>
            </w:r>
            <w:r>
              <w:rPr>
                <w:rFonts w:ascii="Arial" w:cs="Arial" w:eastAsia="Arial" w:hAnsi="Arial"/>
                <w:sz w:val="16"/>
                <w:szCs w:val="16"/>
                <w:b w:val="1"/>
                <w:bCs w:val="1"/>
                <w:color w:val="auto"/>
                <w:w w:val="99"/>
              </w:rPr>
              <w:t xml:space="preserve"> Floor</w:t>
            </w:r>
          </w:p>
        </w:tc>
      </w:tr>
      <w:tr>
        <w:trPr>
          <w:trHeight w:val="252"/>
        </w:trPr>
        <w:tc>
          <w:tcPr>
            <w:tcW w:w="3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(949) 732-6557</w:t>
            </w:r>
          </w:p>
        </w:tc>
        <w:tc>
          <w:tcPr>
            <w:tcW w:w="4920" w:type="dxa"/>
            <w:vAlign w:val="bottom"/>
          </w:tcPr>
          <w:p>
            <w:pPr>
              <w:jc w:val="center"/>
              <w:ind w:left="2531"/>
              <w:spacing w:after="0"/>
              <w:rPr>
                <w:sz w:val="20"/>
                <w:szCs w:val="20"/>
                <w:color w:val="auto"/>
              </w:rPr>
            </w:pPr>
            <w:r>
              <w:rPr>
                <w:rFonts w:ascii="Arial" w:cs="Arial" w:eastAsia="Arial" w:hAnsi="Arial"/>
                <w:sz w:val="18"/>
                <w:szCs w:val="18"/>
                <w:b w:val="1"/>
                <w:bCs w:val="1"/>
                <w:color w:val="auto"/>
                <w:w w:val="91"/>
              </w:rPr>
              <w:t>New York, New York 10036</w:t>
            </w:r>
          </w:p>
        </w:tc>
      </w:tr>
      <w:tr>
        <w:trPr>
          <w:trHeight w:val="234"/>
        </w:trPr>
        <w:tc>
          <w:tcPr>
            <w:tcW w:w="3100" w:type="dxa"/>
            <w:vAlign w:val="bottom"/>
          </w:tcPr>
          <w:p>
            <w:pPr>
              <w:spacing w:after="0"/>
              <w:rPr>
                <w:sz w:val="20"/>
                <w:szCs w:val="20"/>
                <w:color w:val="auto"/>
              </w:rPr>
            </w:pPr>
          </w:p>
        </w:tc>
        <w:tc>
          <w:tcPr>
            <w:tcW w:w="4920" w:type="dxa"/>
            <w:vAlign w:val="bottom"/>
          </w:tcPr>
          <w:p>
            <w:pPr>
              <w:jc w:val="center"/>
              <w:ind w:left="2531"/>
              <w:spacing w:after="0"/>
              <w:rPr>
                <w:sz w:val="20"/>
                <w:szCs w:val="20"/>
                <w:color w:val="auto"/>
              </w:rPr>
            </w:pPr>
            <w:r>
              <w:rPr>
                <w:rFonts w:ascii="Arial" w:cs="Arial" w:eastAsia="Arial" w:hAnsi="Arial"/>
                <w:sz w:val="18"/>
                <w:szCs w:val="18"/>
                <w:b w:val="1"/>
                <w:bCs w:val="1"/>
                <w:color w:val="auto"/>
                <w:w w:val="92"/>
              </w:rPr>
              <w:t>(212) 307-5598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52"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95" w:gutter="0" w:footer="0" w:header="0"/>
        </w:sectPr>
      </w:pPr>
    </w:p>
    <w:p>
      <w:pPr>
        <w:spacing w:after="0" w:line="139"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940" w:space="720"/>
            <w:col w:w="3580"/>
          </w:cols>
          <w:pgMar w:left="320" w:top="445" w:right="339" w:bottom="95" w:gutter="0" w:footer="0" w:header="0"/>
          <w:type w:val="continuous"/>
        </w:sectPr>
      </w:pPr>
    </w:p>
    <w:p>
      <w:pPr>
        <w:spacing w:after="0" w:line="48"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940" w:space="720"/>
            <w:col w:w="3580"/>
          </w:cols>
          <w:pgMar w:left="320" w:top="445" w:right="339" w:bottom="95" w:gutter="0" w:footer="0" w:header="0"/>
          <w:type w:val="continuous"/>
        </w:sectPr>
      </w:pPr>
    </w:p>
    <w:p>
      <w:pPr>
        <w:spacing w:after="0" w:line="32"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5" w:right="339" w:bottom="95" w:gutter="0" w:footer="0" w:header="0"/>
          <w:type w:val="continuous"/>
        </w:sectPr>
      </w:pPr>
    </w:p>
    <w:bookmarkStart w:id="1" w:name="page2"/>
    <w:bookmarkEnd w:id="1"/>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89" w:lineRule="auto"/>
        <w:rPr>
          <w:sz w:val="20"/>
          <w:szCs w:val="20"/>
          <w:color w:val="auto"/>
        </w:rPr>
      </w:pPr>
      <w:r>
        <w:rPr>
          <w:rFonts w:ascii="Arial" w:cs="Arial" w:eastAsia="Arial" w:hAnsi="Arial"/>
          <w:sz w:val="17"/>
          <w:szCs w:val="17"/>
          <w:b w:val="1"/>
          <w:bCs w:val="1"/>
          <w:color w:val="FF0000"/>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58" w:lineRule="exact"/>
        <w:rPr>
          <w:sz w:val="20"/>
          <w:szCs w:val="20"/>
          <w:color w:val="auto"/>
        </w:rPr>
      </w:pPr>
    </w:p>
    <w:p>
      <w:pPr>
        <w:spacing w:after="0"/>
        <w:tabs>
          <w:tab w:leader="none" w:pos="4400" w:val="left"/>
          <w:tab w:leader="none" w:pos="942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7"/>
          <w:szCs w:val="17"/>
          <w:b w:val="1"/>
          <w:bCs w:val="1"/>
          <w:color w:val="FF0000"/>
        </w:rPr>
        <w:t>DATED JUNE 13, 2023</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1,500,000 Shares</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139700</wp:posOffset>
            </wp:positionV>
            <wp:extent cx="317182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182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is a firm commitment initial public offering of shares of common stock of Azitra, Inc. Prior to this offering, there has been no public market for our common stock. We anticipate that the initial public offering price of our shares will be between $4.50 and $5.50.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applied to have our common stock listed on the NYSE American, under the symbol “AZTR” and this offering is contingent on the listing of our common stock on the NYSE American.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“emerging growth company” under the federal securities laws and have elected to comply with certain reduced public company reporting requirements.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See the section titled “</w:t>
      </w:r>
      <w:r>
        <w:rPr>
          <w:rFonts w:ascii="Arial" w:cs="Arial" w:eastAsia="Arial" w:hAnsi="Arial"/>
          <w:sz w:val="18"/>
          <w:szCs w:val="18"/>
          <w:b w:val="1"/>
          <w:bCs w:val="1"/>
          <w:i w:val="1"/>
          <w:iCs w:val="1"/>
          <w:u w:val="single" w:color="auto"/>
          <w:color w:val="0000EE"/>
        </w:rPr>
        <w:t>Risk Factors</w:t>
      </w:r>
      <w:r>
        <w:rPr>
          <w:rFonts w:ascii="Arial" w:cs="Arial" w:eastAsia="Arial" w:hAnsi="Arial"/>
          <w:sz w:val="18"/>
          <w:szCs w:val="18"/>
          <w:b w:val="1"/>
          <w:bCs w:val="1"/>
          <w:color w:val="auto"/>
        </w:rPr>
        <w:t>” beginning on page 11. 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0"/>
                <w:szCs w:val="20"/>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480" w:type="dxa"/>
            <w:vAlign w:val="bottom"/>
            <w:tcBorders>
              <w:top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29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86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6" w:lineRule="exact"/>
        <w:rPr>
          <w:sz w:val="20"/>
          <w:szCs w:val="20"/>
          <w:color w:val="auto"/>
        </w:rPr>
      </w:pPr>
    </w:p>
    <w:p>
      <w:pPr>
        <w:ind w:left="340" w:hanging="332"/>
        <w:spacing w:after="0" w:line="29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Underwriting discounts and commissions do not include a non-accountable expense allowance equal to 1.0% of the initial public offering price payable to the underwriters. We refer you to “</w:t>
      </w:r>
      <w:r>
        <w:rPr>
          <w:rFonts w:ascii="Arial" w:cs="Arial" w:eastAsia="Arial" w:hAnsi="Arial"/>
          <w:sz w:val="16"/>
          <w:szCs w:val="16"/>
          <w:i w:val="1"/>
          <w:iCs w:val="1"/>
          <w:color w:val="auto"/>
        </w:rPr>
        <w:t>Underwriting</w:t>
      </w:r>
      <w:r>
        <w:rPr>
          <w:rFonts w:ascii="Arial" w:cs="Arial" w:eastAsia="Arial" w:hAnsi="Arial"/>
          <w:sz w:val="16"/>
          <w:szCs w:val="16"/>
          <w:color w:val="auto"/>
        </w:rPr>
        <w:t>” beginning on page 105 for additional information regarding underwriters’ compensation.</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granted a 45-day option to the representative of the underwriters to purchase up to 225,000 additional shares of common stock solely to cover over-allotments, if 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w w:val="94"/>
              </w:rPr>
              <w:t>The underwriters expect to deliver the shares to purchasers on or about,</w:t>
            </w: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4600" w:type="dxa"/>
            <w:vAlign w:val="bottom"/>
          </w:tcPr>
          <w:p>
            <w:pPr>
              <w:spacing w:after="0"/>
              <w:rPr>
                <w:sz w:val="20"/>
                <w:szCs w:val="20"/>
                <w:color w:val="auto"/>
              </w:rPr>
            </w:pPr>
          </w:p>
        </w:tc>
      </w:tr>
      <w:tr>
        <w:trPr>
          <w:trHeight w:val="595"/>
        </w:trPr>
        <w:tc>
          <w:tcPr>
            <w:tcW w:w="6640" w:type="dxa"/>
            <w:vAlign w:val="bottom"/>
            <w:gridSpan w:val="2"/>
          </w:tcPr>
          <w:p>
            <w:pPr>
              <w:jc w:val="right"/>
              <w:ind w:right="30"/>
              <w:spacing w:after="0"/>
              <w:rPr>
                <w:sz w:val="20"/>
                <w:szCs w:val="20"/>
                <w:color w:val="auto"/>
              </w:rPr>
            </w:pPr>
            <w:r>
              <w:rPr>
                <w:rFonts w:ascii="Arial" w:cs="Arial" w:eastAsia="Arial" w:hAnsi="Arial"/>
                <w:sz w:val="32"/>
                <w:szCs w:val="32"/>
                <w:b w:val="1"/>
                <w:bCs w:val="1"/>
                <w:color w:val="auto"/>
              </w:rPr>
              <w:t>ThinkEquity</w:t>
            </w:r>
          </w:p>
        </w:tc>
        <w:tc>
          <w:tcPr>
            <w:tcW w:w="4600" w:type="dxa"/>
            <w:vAlign w:val="bottom"/>
          </w:tcPr>
          <w:p>
            <w:pPr>
              <w:spacing w:after="0"/>
              <w:rPr>
                <w:sz w:val="24"/>
                <w:szCs w:val="24"/>
                <w:color w:val="auto"/>
              </w:rPr>
            </w:pPr>
          </w:p>
        </w:tc>
      </w:tr>
      <w:tr>
        <w:trPr>
          <w:trHeight w:val="417"/>
        </w:trPr>
        <w:tc>
          <w:tcPr>
            <w:tcW w:w="6640" w:type="dxa"/>
            <w:vAlign w:val="bottom"/>
            <w:gridSpan w:val="2"/>
          </w:tcPr>
          <w:p>
            <w:pPr>
              <w:jc w:val="right"/>
              <w:ind w:right="410"/>
              <w:spacing w:after="0"/>
              <w:rPr>
                <w:sz w:val="20"/>
                <w:szCs w:val="20"/>
                <w:color w:val="auto"/>
              </w:rPr>
            </w:pPr>
            <w:r>
              <w:rPr>
                <w:rFonts w:ascii="Arial" w:cs="Arial" w:eastAsia="Arial" w:hAnsi="Arial"/>
                <w:sz w:val="18"/>
                <w:szCs w:val="18"/>
                <w:color w:val="auto"/>
              </w:rPr>
              <w:t>The date of this prospectus is</w:t>
            </w:r>
          </w:p>
        </w:tc>
        <w:tc>
          <w:tcPr>
            <w:tcW w:w="4600" w:type="dxa"/>
            <w:vAlign w:val="bottom"/>
          </w:tcPr>
          <w:p>
            <w:pPr>
              <w:jc w:val="right"/>
              <w:ind w:right="3930"/>
              <w:spacing w:after="0"/>
              <w:rPr>
                <w:sz w:val="20"/>
                <w:szCs w:val="20"/>
                <w:color w:val="auto"/>
              </w:rPr>
            </w:pPr>
            <w:r>
              <w:rPr>
                <w:rFonts w:ascii="Arial" w:cs="Arial" w:eastAsia="Arial" w:hAnsi="Arial"/>
                <w:sz w:val="18"/>
                <w:szCs w:val="18"/>
                <w:color w:val="auto"/>
              </w:rPr>
              <w:t>, 2023</w:t>
            </w:r>
          </w:p>
        </w:tc>
      </w:tr>
      <w:tr>
        <w:trPr>
          <w:trHeight w:val="439"/>
        </w:trPr>
        <w:tc>
          <w:tcPr>
            <w:tcW w:w="5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8155940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20" w:type="dxa"/>
            <w:vAlign w:val="bottom"/>
            <w:gridSpan w:val="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209"/>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64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7"/>
              </w:rPr>
              <w:t>INDUSTRY AND MARKET DATA</w:t>
            </w:r>
          </w:p>
        </w:tc>
        <w:tc>
          <w:tcPr>
            <w:tcW w:w="748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r>
      <w:tr>
        <w:trPr>
          <w:trHeight w:val="176"/>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PROSPECTUS SUMMARY</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5"/>
              </w:rPr>
              <w:t>SUMMARY RISK FACTORS</w:t>
            </w:r>
          </w:p>
        </w:tc>
        <w:tc>
          <w:tcPr>
            <w:tcW w:w="790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r>
      <w:tr>
        <w:trPr>
          <w:trHeight w:val="175"/>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SUMMARY FINANCIAL DATA</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8860" w:type="dxa"/>
            <w:vAlign w:val="bottom"/>
            <w:tcBorders>
              <w:bottom w:val="single" w:sz="8" w:color="CCEEFF"/>
            </w:tcBorders>
            <w:gridSpan w:val="1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r>
      <w:tr>
        <w:trPr>
          <w:trHeight w:val="176"/>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50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7"/>
              </w:rPr>
              <w:t>TRADEMARKS, SERVICE MARKS AND TRADE NAMES</w:t>
            </w:r>
          </w:p>
        </w:tc>
        <w:tc>
          <w:tcPr>
            <w:tcW w:w="56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r>
      <w:tr>
        <w:trPr>
          <w:trHeight w:val="175"/>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USE OF PROCEEDS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DIVIDEND POLICY</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r>
      <w:tr>
        <w:trPr>
          <w:trHeight w:val="176"/>
        </w:trPr>
        <w:tc>
          <w:tcPr>
            <w:tcW w:w="158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8"/>
                <w:szCs w:val="18"/>
                <w:color w:val="0000EE"/>
              </w:rPr>
              <w:t>CAPITALIZATION</w:t>
            </w:r>
          </w:p>
        </w:tc>
        <w:tc>
          <w:tcPr>
            <w:tcW w:w="8540" w:type="dxa"/>
            <w:vAlign w:val="bottom"/>
            <w:tcBorders>
              <w:top w:val="single" w:sz="8" w:color="CCEEFF"/>
            </w:tcBorders>
            <w:gridSpan w:val="14"/>
          </w:tcPr>
          <w:p>
            <w:pPr>
              <w:spacing w:after="0"/>
              <w:rPr>
                <w:sz w:val="15"/>
                <w:szCs w:val="15"/>
                <w:color w:val="auto"/>
              </w:rPr>
            </w:pPr>
          </w:p>
        </w:tc>
        <w:tc>
          <w:tcPr>
            <w:tcW w:w="1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2"/>
              </w:rPr>
              <w:t>BUSINESS</w:t>
            </w:r>
          </w:p>
        </w:tc>
        <w:tc>
          <w:tcPr>
            <w:tcW w:w="92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r>
      <w:tr>
        <w:trPr>
          <w:trHeight w:val="175"/>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MANAGEMENT</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4"/>
              </w:rPr>
              <w:t>PRINCIPAL STOCKHOLDERS</w:t>
            </w:r>
          </w:p>
        </w:tc>
        <w:tc>
          <w:tcPr>
            <w:tcW w:w="77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r>
      <w:tr>
        <w:trPr>
          <w:trHeight w:val="176"/>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DESCRIPTION OF SECURITIES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SHARES ELIGIBLE FOR FUTURE SALE</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MATERIAL U.S. FEDERAL INCOME TAX CONSEQUENCES FOR NON-U.S. HOLDERS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101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7"/>
              </w:rPr>
              <w:t>UNDERWRITING</w:t>
            </w:r>
          </w:p>
        </w:tc>
        <w:tc>
          <w:tcPr>
            <w:tcW w:w="8720" w:type="dxa"/>
            <w:vAlign w:val="bottom"/>
            <w:tcBorders>
              <w:bottom w:val="single" w:sz="8" w:color="CCEEFF"/>
            </w:tcBorders>
            <w:gridSpan w:val="1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105</w:t>
            </w:r>
          </w:p>
        </w:tc>
      </w:tr>
      <w:tr>
        <w:trPr>
          <w:trHeight w:val="176"/>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LEGAL MATTERS</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r>
      <w:tr>
        <w:trPr>
          <w:trHeight w:val="176"/>
        </w:trPr>
        <w:tc>
          <w:tcPr>
            <w:tcW w:w="10120" w:type="dxa"/>
            <w:vAlign w:val="bottom"/>
            <w:gridSpan w:val="21"/>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INDEX TO FINANCIAL STATEMENTS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You should rely only on the information contained in this prospectus. We have not authorized any other person to provide you with information different from or in addition to that contained in this prospectus, and we take no responsibility for any other information others may give you. If anyone provides you with different or inconsistent information, you should not rely on it. We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used in this prospectus, unless the context indicates or otherwise requires, “the Company,” “our Company,” “we,” “us,” and “our” refer to Azitra, Inc., a Delaware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particularly the section “Business,” contains observations, statistical data, estimates, and forecasts that are based on independent industry, government and non-government organization publications or other publicly available information, as well as other information based on our internal sources. Although we believe that the third-party sources referred to in this prospectus are reliable, estimates as they relate to projections involve numerous assumptions, are subject to risks and uncertainties, and are subject to change based on various factors, including those discussed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prospectus. These and other factors could cause results to differ materially from those expressed in the estimates made by the independent parties and by us.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government and non-governmental organizational publications. The sources of these publications are provided below:</w:t>
      </w:r>
    </w:p>
    <w:p>
      <w:pPr>
        <w:spacing w:after="0" w:line="170" w:lineRule="exact"/>
        <w:rPr>
          <w:sz w:val="20"/>
          <w:szCs w:val="20"/>
          <w:color w:val="auto"/>
        </w:rPr>
      </w:pPr>
    </w:p>
    <w:p>
      <w:pPr>
        <w:ind w:left="980" w:hanging="324"/>
        <w:spacing w:after="0" w:line="25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Stacy and Belkaid Study</w:t>
      </w:r>
      <w:r>
        <w:rPr>
          <w:rFonts w:ascii="Arial" w:cs="Arial" w:eastAsia="Arial" w:hAnsi="Arial"/>
          <w:sz w:val="18"/>
          <w:szCs w:val="18"/>
          <w:i w:val="1"/>
          <w:iCs w:val="1"/>
          <w:color w:val="auto"/>
        </w:rPr>
        <w:t>, Apollo Stacy and Yasmine</w:t>
      </w:r>
      <w:r>
        <w:rPr>
          <w:rFonts w:ascii="Arial" w:cs="Arial" w:eastAsia="Arial" w:hAnsi="Arial"/>
          <w:sz w:val="18"/>
          <w:szCs w:val="18"/>
          <w:color w:val="auto"/>
        </w:rPr>
        <w:t xml:space="preserve"> Belkaid, Microbial Guardians of Skin Health. Science, 2019 Jan 18;363(6424):227-228. Doi: 10.1126/science.aat4326. PMID: 30655428</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Oh Study, Zhou W, Spoto M, Hardy R, Guan C, Fleming E, Larson PJ, Brown JS, Oh J. Host-Specific Evolutionary and Transmission Dynamics Shape the Functional Diversification of Staphylococcus epidermidis in Human Skin. Cell. 2020 Feb 6;180(3):454-470.e18. doi: 10.1016/j.cell.2020.01.006. Epub 2020 Jan 30. PMID: 32004459; PMCID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Satoh Study, Satoh TK, Mellett M, Meier-Schiesser B, Fenini G, Otsuka A, Beer HD, Rordorf T, Maul JT, Hafner J, Navarini AA, Contassot E, French LE. IL-36γ drives skin toxicity induced by EGFR/MEK inhibition and commensal Cutibacterium acnes. J Clin Invest. 2020 Mar 2;130(3):1417-1430. doi: 10.1172/JCI128678. PMID: 31805013; PMCID: PMC7269569</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Barbati Study, Netherton Syndrome in Children: Management and Future Perspectives, Federica Barbati, Mattia Giovannini Teresa Oranges, Lorenzo Lodi, Simona Barni, Elio Novembre, Ermanno Baldo, Mario Cristofolini, Stefano Stagi, Silvia Ricci, Francesca Mori, Cesare Filippeschi, Chiara Azzari and Giuseppe Indol; Frontiers in Pediatrics, May 2021</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 Study, Netherton syndrome: A case report and review of the literature, Joannie D. Sun, MD, and Kenneth G. Linden, PhD, MD, International Journal of Dermatology 2006</w:t>
      </w: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Orphanet, Netherton Syndrome, Orphanet:‌ Netherton syndrome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202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Investing in our common stock involves a high degree of risk. Because it is only a summary, it does not contain all of the information that you should consider before investing in our common stock and it is qualified in its entirety by, and should be read in conjunction with, the more detailed information appearing elsewhere in this prospectus. Before you decide to invest in our common stock, you should read the entire prospectus carefully, including “Risk Factors” beginning on page 11 and the financial statements and related notes included in this prospectus.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On May 17, 2023, we effected a forward stock split at a ratio of 7.1-for-1. All share and share price information in this prospectus have been adjusted to give effect to the forward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Arial" w:cs="Arial" w:eastAsia="Arial" w:hAnsi="Arial"/>
          <w:sz w:val="17"/>
          <w:szCs w:val="17"/>
          <w:i w:val="1"/>
          <w:iCs w:val="1"/>
          <w:color w:val="auto"/>
        </w:rPr>
        <w:t>Staphylococcus epidermidis, or S. epidermidis,</w:t>
      </w:r>
      <w:r>
        <w:rPr>
          <w:rFonts w:ascii="Arial" w:cs="Arial" w:eastAsia="Arial" w:hAnsi="Arial"/>
          <w:sz w:val="17"/>
          <w:szCs w:val="17"/>
          <w:color w:val="auto"/>
        </w:rPr>
        <w:t xml:space="preserve">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pioneer in genetically engineered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product candidates, including:</w:t>
      </w:r>
    </w:p>
    <w:p>
      <w:pPr>
        <w:spacing w:after="0" w:line="180" w:lineRule="exact"/>
        <w:rPr>
          <w:sz w:val="20"/>
          <w:szCs w:val="20"/>
          <w:color w:val="auto"/>
        </w:rPr>
      </w:pPr>
    </w:p>
    <w:p>
      <w:pPr>
        <w:jc w:val="both"/>
        <w:ind w:left="980" w:hanging="327"/>
        <w:spacing w:after="0" w:line="273"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ATR-12</w:t>
      </w:r>
      <w:r>
        <w:rPr>
          <w:rFonts w:ascii="Arial" w:cs="Arial" w:eastAsia="Arial" w:hAnsi="Arial"/>
          <w:sz w:val="17"/>
          <w:szCs w:val="17"/>
          <w:color w:val="auto"/>
        </w:rPr>
        <w:t>, a genetically modified strain of</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 epidermidis</w:t>
      </w:r>
      <w:r>
        <w:rPr>
          <w:rFonts w:ascii="Arial" w:cs="Arial" w:eastAsia="Arial" w:hAnsi="Arial"/>
          <w:sz w:val="17"/>
          <w:szCs w:val="17"/>
          <w:b w:val="1"/>
          <w:bCs w:val="1"/>
          <w:color w:val="auto"/>
        </w:rPr>
        <w:t xml:space="preserve"> </w:t>
      </w:r>
      <w:r>
        <w:rPr>
          <w:rFonts w:ascii="Arial" w:cs="Arial" w:eastAsia="Arial" w:hAnsi="Arial"/>
          <w:sz w:val="17"/>
          <w:szCs w:val="17"/>
          <w:color w:val="auto"/>
        </w:rPr>
        <w:t>for treating the orphan disease, Netherton syndrome, a chronic and sometimes</w:t>
      </w:r>
      <w:r>
        <w:rPr>
          <w:rFonts w:ascii="Arial" w:cs="Arial" w:eastAsia="Arial" w:hAnsi="Arial"/>
          <w:sz w:val="17"/>
          <w:szCs w:val="17"/>
          <w:b w:val="1"/>
          <w:bCs w:val="1"/>
          <w:color w:val="auto"/>
        </w:rPr>
        <w:t xml:space="preserve"> </w:t>
      </w:r>
      <w:r>
        <w:rPr>
          <w:rFonts w:ascii="Arial" w:cs="Arial" w:eastAsia="Arial" w:hAnsi="Arial"/>
          <w:sz w:val="17"/>
          <w:szCs w:val="17"/>
          <w:color w:val="auto"/>
        </w:rPr>
        <w:t>fatal disease of the skin estimated to affect approximately one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We expect to commence our Phase 1b‌ clinical trial in the first half of 2023 and report initial results in the first half of 2024.</w:t>
      </w:r>
    </w:p>
    <w:p>
      <w:pPr>
        <w:spacing w:after="0" w:line="171" w:lineRule="exact"/>
        <w:rPr>
          <w:rFonts w:ascii="Arial" w:cs="Arial" w:eastAsia="Arial" w:hAnsi="Arial"/>
          <w:sz w:val="17"/>
          <w:szCs w:val="17"/>
          <w:color w:val="auto"/>
        </w:rPr>
      </w:pPr>
    </w:p>
    <w:p>
      <w:pPr>
        <w:jc w:val="both"/>
        <w:ind w:left="980" w:hanging="327"/>
        <w:spacing w:after="0" w:line="281"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ATR-04</w:t>
      </w:r>
      <w:r>
        <w:rPr>
          <w:rFonts w:ascii="Arial" w:cs="Arial" w:eastAsia="Arial" w:hAnsi="Arial"/>
          <w:sz w:val="17"/>
          <w:szCs w:val="17"/>
          <w:color w:val="auto"/>
        </w:rPr>
        <w:t>, a genetically modified strain of</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 epidermidis</w:t>
      </w:r>
      <w:r>
        <w:rPr>
          <w:rFonts w:ascii="Arial" w:cs="Arial" w:eastAsia="Arial" w:hAnsi="Arial"/>
          <w:sz w:val="17"/>
          <w:szCs w:val="17"/>
          <w:b w:val="1"/>
          <w:bCs w:val="1"/>
          <w:color w:val="auto"/>
        </w:rPr>
        <w:t xml:space="preserve"> </w:t>
      </w:r>
      <w:r>
        <w:rPr>
          <w:rFonts w:ascii="Arial" w:cs="Arial" w:eastAsia="Arial" w:hAnsi="Arial"/>
          <w:sz w:val="17"/>
          <w:szCs w:val="17"/>
          <w:color w:val="auto"/>
        </w:rPr>
        <w:t>for treating the papulopustular rash experienced by cancer patients undergoing</w:t>
      </w:r>
      <w:r>
        <w:rPr>
          <w:rFonts w:ascii="Arial" w:cs="Arial" w:eastAsia="Arial" w:hAnsi="Arial"/>
          <w:sz w:val="17"/>
          <w:szCs w:val="17"/>
          <w:b w:val="1"/>
          <w:bCs w:val="1"/>
          <w:color w:val="auto"/>
        </w:rPr>
        <w:t xml:space="preserve"> </w:t>
      </w:r>
      <w:r>
        <w:rPr>
          <w:rFonts w:ascii="Arial" w:cs="Arial" w:eastAsia="Arial" w:hAnsi="Arial"/>
          <w:sz w:val="17"/>
          <w:szCs w:val="17"/>
          <w:color w:val="auto"/>
        </w:rPr>
        <w:t>epidermal growth factor receptor inhibitor, or EGFRi, targeted therapy. We intend to submit an IND for a Phase 1b clinical trial in certain cancer patients undergoing EGFRi targeted therapy by the end of 2023. Subject to FDA approval of our IND, we expect to commence our Phase 1b clinical trial in the first-half of 2024 with initial results expected as early as late 2024.</w:t>
      </w:r>
    </w:p>
    <w:p>
      <w:pPr>
        <w:spacing w:after="0" w:line="164" w:lineRule="exact"/>
        <w:rPr>
          <w:rFonts w:ascii="Arial" w:cs="Arial" w:eastAsia="Arial" w:hAnsi="Arial"/>
          <w:sz w:val="17"/>
          <w:szCs w:val="17"/>
          <w:color w:val="auto"/>
        </w:rPr>
      </w:pPr>
    </w:p>
    <w:p>
      <w:pPr>
        <w:jc w:val="both"/>
        <w:ind w:left="980" w:hanging="327"/>
        <w:spacing w:after="0" w:line="31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ATR-01</w:t>
      </w:r>
      <w:r>
        <w:rPr>
          <w:rFonts w:ascii="Arial" w:cs="Arial" w:eastAsia="Arial" w:hAnsi="Arial"/>
          <w:sz w:val="16"/>
          <w:szCs w:val="16"/>
          <w:color w:val="auto"/>
        </w:rPr>
        <w:t>, an engineered recombinant human filaggrin protein for treating ichthyosis vulgaris, a chronic, xerotic (abnormally dry), scaly</w:t>
      </w:r>
      <w:r>
        <w:rPr>
          <w:rFonts w:ascii="Arial" w:cs="Arial" w:eastAsia="Arial" w:hAnsi="Arial"/>
          <w:sz w:val="16"/>
          <w:szCs w:val="16"/>
          <w:b w:val="1"/>
          <w:bCs w:val="1"/>
          <w:color w:val="auto"/>
        </w:rPr>
        <w:t xml:space="preserve"> </w:t>
      </w:r>
      <w:r>
        <w:rPr>
          <w:rFonts w:ascii="Arial" w:cs="Arial" w:eastAsia="Arial" w:hAnsi="Arial"/>
          <w:sz w:val="16"/>
          <w:szCs w:val="16"/>
          <w:color w:val="auto"/>
        </w:rPr>
        <w:t>skin disease with an estimated incidence and prevalence of 1 in 250, which suggests a total patient population of 1.3 million in the United States. We are planning to complete lead optimization and IND-enabling studies in 2023 to support an IND filing in late 2024.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7" w:name="page8"/>
    <w:bookmarkEnd w:id="7"/>
    <w:p>
      <w:pPr>
        <w:jc w:val="both"/>
        <w:ind w:left="980" w:hanging="327"/>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032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321290"/>
                    </a:xfrm>
                    <a:prstGeom prst="rect">
                      <a:avLst/>
                    </a:prstGeom>
                    <a:noFill/>
                  </pic:spPr>
                </pic:pic>
              </a:graphicData>
            </a:graphic>
          </wp:anchor>
        </w:drawing>
        <w:t>Two separate strains of bacterial microbes being investigated and developed by us and Bayer Consumer Care AG, the consumer products division of Bayer AG, or Bayer, the international life science company. We entered into a Joint Development Agreement, or JDA, with Bayer in December 2019. Under the terms of the JDA, we are responsible for testing our library of bacterial strains and their natural products for key preclinical properties. After screening through hundreds of strains, we and Bayer have selected two particular strains to move forward. Bayer holds the exclusive option to license the patent rights to these strains. In December 2020, Bayer purchased $8 million of our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have established partnerships with teams from Carnegie Mellon University and the Fred Hutchinson Cancer Center, or Fred Hutch, two of the premier academic centers in the United States. Our collaboration with the Carnegie Mellon based team also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To date, our team has successfully engineered our lead therapeutic candidates without the SyMPL technology. However, we believe that SyMPL will open up the ability to make genetic transformations of an expanded universe of microbial species, and we expect that some or all of our future product candidates will incorporate the SyMPL technology. Our collaboration with Fred Hutch is led by Dr. Christopher Johnston, an expert in microbial engineering, and the innovator behind the SyMPL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Partnership</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December 2019, we entered into a Joint Development Agreement, or JDA, with Bayer pursuant to which we agreed to the joint development of certain strains selected from our proprietary microbial library. We and Bayer have agreed to cooperate in the identification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characterization of microbial strains for topical formulations, which we intend to develop as potential over-the-counter cosmetic products. Bayer paid us a one-time payment upon execution of the JDA and has agreed to reimburse us for our development costs. In October 2021, Bayer expanded the option agreement and paid us a second fee for additional characterization work. We have granted Bayer an option to acquire an exclusive royalty bearing license for up to six strains subject to development activities under the JDA, including an exclusive royalty bearing license to any related patent rights. Bayer has an option to acquire the exclusive license rights for a period of six months following our delivery of the results of the JDA development activities to Bayer. After screening through hundreds of strains, we and Bayer have selected two particular strains to move forward with in vitro and ex vivo characterization.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2020, Bayer’s venture capital group, LEAPS by Bayer, purchased $8 million of our Series B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sectPr>
          <w:pgSz w:w="11900" w:h="16838" w:orient="portrait"/>
          <w:cols w:equalWidth="0" w:num="1">
            <w:col w:w="10920"/>
          </w:cols>
          <w:pgMar w:left="480" w:top="692" w:right="499" w:bottom="108" w:gutter="0" w:footer="0" w:header="0"/>
        </w:sectPr>
      </w:pPr>
    </w:p>
    <w:bookmarkStart w:id="8" w:name="page9"/>
    <w:bookmarkEnd w:id="8"/>
    <w:p>
      <w:pPr>
        <w:jc w:val="both"/>
        <w:ind w:left="327" w:hanging="327"/>
        <w:spacing w:after="0" w:line="257"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a sustainable precision dermatology company. </w:t>
      </w:r>
      <w:r>
        <w:rPr>
          <w:rFonts w:ascii="Arial" w:cs="Arial" w:eastAsia="Arial" w:hAnsi="Arial"/>
          <w:sz w:val="18"/>
          <w:szCs w:val="18"/>
          <w:color w:val="auto"/>
        </w:rPr>
        <w:t>Our goal is to build a leading precision dermatology company with a sustainable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pipeline of 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if not all, genetically engineered product candidates we develop will be eligible for patent protection.</w:t>
      </w:r>
    </w:p>
    <w:p>
      <w:pPr>
        <w:spacing w:after="0" w:line="187" w:lineRule="exact"/>
        <w:rPr>
          <w:rFonts w:ascii="Arial" w:cs="Arial" w:eastAsia="Arial" w:hAnsi="Arial"/>
          <w:sz w:val="18"/>
          <w:szCs w:val="18"/>
          <w:color w:val="auto"/>
        </w:rPr>
      </w:pPr>
    </w:p>
    <w:p>
      <w:pPr>
        <w:jc w:val="both"/>
        <w:ind w:left="327" w:hanging="327"/>
        <w:spacing w:after="0" w:line="271" w:lineRule="auto"/>
        <w:tabs>
          <w:tab w:leader="none" w:pos="327"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our lead product candidates, ATR-12 and ATR-04, through clinical trials. </w:t>
      </w:r>
      <w:r>
        <w:rPr>
          <w:rFonts w:ascii="Arial" w:cs="Arial" w:eastAsia="Arial" w:hAnsi="Arial"/>
          <w:sz w:val="17"/>
          <w:szCs w:val="17"/>
          <w:color w:val="auto"/>
        </w:rPr>
        <w:t>In Netherton syndrome patients in 2022,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pre-IND correspondence with the FDA for purposes of discussing our proposed regulatory pathway for ATR-12 and obtaining guidance from the FDA on the pre-clinical plan leading to the filing and acceptance of an IND for ATR-12. In‌ December 2022, we filed an IND for a first-in-human trial of ATR-12 in Netherton syndrome patients. Our IND proposes a Phase 1b clinical study of ATR-12 in patients with Netherton syndrome. On January 27, 2023, we received notification from the FDA that the “study may proceed” with respect to the proposed Phase 1b clinical trial, and we expect to commence our Phase 1b clinical trial in the first half of 2023, with initial results expected in the first half of 2024. We also plan to conduct a Phase 1b‌ trial of our ATR-04 in certain cancer patients undergoing EGFRi therapy‌, and expect to file an IND for ATR-04 by the end of 2023.</w:t>
      </w:r>
    </w:p>
    <w:p>
      <w:pPr>
        <w:spacing w:after="0" w:line="178" w:lineRule="exact"/>
        <w:rPr>
          <w:rFonts w:ascii="Arial" w:cs="Arial" w:eastAsia="Arial" w:hAnsi="Arial"/>
          <w:sz w:val="17"/>
          <w:szCs w:val="17"/>
          <w:color w:val="auto"/>
        </w:rPr>
      </w:pPr>
    </w:p>
    <w:p>
      <w:pPr>
        <w:jc w:val="both"/>
        <w:ind w:left="327" w:hanging="327"/>
        <w:spacing w:after="0" w:line="271" w:lineRule="auto"/>
        <w:tabs>
          <w:tab w:leader="none" w:pos="327"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 our platform by selectively exploring strategic partnerships that maximize the potential of our precision dermatology programs. </w:t>
      </w:r>
      <w:r>
        <w:rPr>
          <w:rFonts w:ascii="Arial" w:cs="Arial" w:eastAsia="Arial" w:hAnsi="Arial"/>
          <w:sz w:val="17"/>
          <w:szCs w:val="17"/>
          <w:color w:val="auto"/>
        </w:rPr>
        <w:t>We intend to maintain significant rights to all of our core technologies and product candidates. However, we will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-3168650</wp:posOffset>
            </wp:positionV>
            <wp:extent cx="7132320" cy="3308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308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7"/>
          </w:cols>
          <w:pgMar w:left="1133" w:top="125" w:right="499" w:bottom="1440" w:gutter="0" w:footer="0" w:header="0"/>
        </w:sectPr>
      </w:pPr>
    </w:p>
    <w:bookmarkStart w:id="9" w:name="page10"/>
    <w:bookmarkEnd w:id="9"/>
    <w:p>
      <w:pPr>
        <w:jc w:val="both"/>
        <w:ind w:left="980" w:hanging="327"/>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379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 xml:space="preserve">Leverage our academic partnerships. </w:t>
      </w:r>
      <w:r>
        <w:rPr>
          <w:rFonts w:ascii="Arial" w:cs="Arial" w:eastAsia="Arial" w:hAnsi="Arial"/>
          <w:sz w:val="18"/>
          <w:szCs w:val="18"/>
          <w:color w:val="auto"/>
        </w:rPr>
        <w:t>We currently have partnerships with investigators at the Fred Hutchinson Cancer Center, Yale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Jackson Laboratory for Genomic Medicine, and Carnegie Mellon University. We expect to leverage these partnerships and potentially expand them or form other academic partnerships to bolster our engineering platforms and expand our research and development pipeline.</w:t>
      </w:r>
    </w:p>
    <w:p>
      <w:pPr>
        <w:spacing w:after="0" w:line="186" w:lineRule="exact"/>
        <w:rPr>
          <w:rFonts w:ascii="Arial" w:cs="Arial" w:eastAsia="Arial" w:hAnsi="Arial"/>
          <w:sz w:val="18"/>
          <w:szCs w:val="18"/>
          <w:color w:val="auto"/>
        </w:rPr>
      </w:pPr>
    </w:p>
    <w:p>
      <w:pPr>
        <w:jc w:val="both"/>
        <w:ind w:left="980" w:hanging="327"/>
        <w:spacing w:after="0" w:line="293"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on our other potential product candidates. </w:t>
      </w:r>
      <w:r>
        <w:rPr>
          <w:rFonts w:ascii="Arial" w:cs="Arial" w:eastAsia="Arial" w:hAnsi="Arial"/>
          <w:sz w:val="16"/>
          <w:szCs w:val="16"/>
          <w:color w:val="auto"/>
        </w:rPr>
        <w:t>Beyond our three lead product candidates, our goal is to develop a broad portfolio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own or exclusively license two issued U.S. patents, four pending U.S. patent applications, one pending PCT application and 38 other foreign national-stage applications, including three European regional-phase applications that are important to the development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Leadership Team</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led by Francisco D. Salva, our chief executive officer, and Travis Whitfill, our co-founder, who have more than 35 years of combined experience in the management of biotechnology companies and healthcare investing. Mr. Salva was previously a co-founder of Acerta Pharma, which was sold to AstraZeneca for approximately $6.3 billion in a staged acquisition beginning in 2016. He also worked on the turnaround of Pharmacyclics, which subsequently sold to Abbvie for approximately $21 billion in 2015. Before that, Mr. Salva spent almost a decade in life sciences venture capital. Mr. Whitfill served as associate research scientist and assistant professor adjunct at Yale University with appointments in the Departments of Pediatrics and Emergency Medicine. He has led numerous grant-funded projects, holds nearly a dozen patents and has co-authored over 50 publications.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Azitra is a pioneer in genetically engineering bacteria for therapeutic use in dermatology clinical trials. We have built a proprietary platform that includes a microbial library comprised of approximately 1,500 unique bacterial strains that are screened for therapeutic characteristics as well as lead drug candidates. Furthermore, we have exclusively licensed a novel technology, which potentially enables the genetic transformation of previously intractable bacterial microbes. The history of recombinant protein engineering in biotech has traditionally been limited to less than 20 species. Our licensed technology opens up the potential to genetically engineer thousands of microbial species to build proteins and peptides that have never been previously built. Our management team has significant experience in discovering, developing, manufacturing and commercializing therapeutics. The members of our leadership team have specialized expertise developed at companies including Pharmacyclics, Acerta Pharma, Botanix Pharmaceuticals, and Realm Therapeutics.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3184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3184525"/>
                    </a:xfrm>
                    <a:prstGeom prst="rect">
                      <a:avLst/>
                    </a:prstGeom>
                    <a:noFill/>
                  </pic:spPr>
                </pic:pic>
              </a:graphicData>
            </a:graphic>
          </wp:anchor>
        </w:drawing>
        <w:t>Our Market Opportunity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there are significant market opportunities to capture in each of our addressable markets. The dermatology market itself has shown considerable growth over the last decade and is predicted to continue to grow. According to Vision Research Reports, the dermatology drug market surpassed $17 billion in 2021 and is expected to grow at a compound annual growth rate of 8.8% through 2030. Our first product candidate to emerge from our platform focuses on the orphan indication of Netherton syndrome. Based on the Barbati and Sun Studies, we believe that this product candidate represents a potential $250 million global sales opportunity by the mid-2030’s. The diseases we intend to target are well characterized, often by a monogenic genetic mutation. Additionally, the era of genomic sequencing has ushered in unprecedented progress in genetic testing. The defined molecular pathophysiology of over 100 rare skin diseases has now been defined.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were incorporated under the laws of the state of Delaware on January 2, 2014</w:t>
      </w:r>
      <w:r>
        <w:rPr>
          <w:rFonts w:ascii="Arial" w:cs="Arial" w:eastAsia="Arial" w:hAnsi="Arial"/>
          <w:sz w:val="16"/>
          <w:szCs w:val="16"/>
          <w:i w:val="1"/>
          <w:iCs w:val="1"/>
          <w:color w:val="auto"/>
        </w:rPr>
        <w:t>.</w:t>
      </w:r>
      <w:r>
        <w:rPr>
          <w:rFonts w:ascii="Arial" w:cs="Arial" w:eastAsia="Arial" w:hAnsi="Arial"/>
          <w:sz w:val="16"/>
          <w:szCs w:val="16"/>
          <w:color w:val="auto"/>
        </w:rPr>
        <w:t xml:space="preserve"> Our principal executive offices are located at 21 Business Park Drive, Branford, Connecticut 06405, and our telephone number is (203) 646-6446. Our website address is www.azitrainc.com.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U.S. and foreign 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2635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2635885"/>
                    </a:xfrm>
                    <a:prstGeom prst="rect">
                      <a:avLst/>
                    </a:prstGeom>
                    <a:noFill/>
                  </pic:spPr>
                </pic:pic>
              </a:graphicData>
            </a:graphic>
          </wp:anchor>
        </w:drawing>
        <w:t>Private Placements of our Convertible Securities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date, we have capitalized our operations through a series of private placements of our convertible preferred stock and convertible promissory notes, all of which will convert into shares of our common stock upon the consummation of this offering, including:</w:t>
      </w:r>
    </w:p>
    <w:p>
      <w:pPr>
        <w:spacing w:after="0" w:line="170" w:lineRule="exact"/>
        <w:rPr>
          <w:sz w:val="20"/>
          <w:szCs w:val="20"/>
          <w:color w:val="auto"/>
        </w:rPr>
      </w:pPr>
    </w:p>
    <w:p>
      <w:pPr>
        <w:ind w:left="980" w:hanging="327"/>
        <w:spacing w:after="0" w:line="25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March 2017 placement of 205,385 shares of our Series A convertible preferred stock, at a price of $16.25 per share, which will convert into 1,458,234 shares of our common stock upon the consummation of this offering;</w:t>
      </w:r>
    </w:p>
    <w:p>
      <w:pPr>
        <w:spacing w:after="0" w:line="1" w:lineRule="exact"/>
        <w:rPr>
          <w:rFonts w:ascii="Arial" w:cs="Arial" w:eastAsia="Arial" w:hAnsi="Arial"/>
          <w:sz w:val="18"/>
          <w:szCs w:val="18"/>
          <w:color w:val="auto"/>
        </w:rPr>
      </w:pPr>
    </w:p>
    <w:p>
      <w:pPr>
        <w:ind w:left="980" w:hanging="327"/>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February 2019 placement of 380,657 shares of our Series A-1 convertible preferred stock, at a price of $37.50 per share, which will convert into 2,958,120 shares of our common stock upon the consummation of this offering;</w:t>
      </w:r>
    </w:p>
    <w:p>
      <w:pPr>
        <w:ind w:left="980" w:hanging="327"/>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September 2020 placement of 392,000 shares of our Series B convertible preferred stock, at a price of $43.45 per share, which will convert into 3,277,083 shares of our common stock upon the consummation of this offering;</w:t>
      </w:r>
    </w:p>
    <w:p>
      <w:pPr>
        <w:ind w:left="980" w:hanging="327"/>
        <w:spacing w:after="0" w:line="28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January 2021 placement of a $1 million unsecured convertible promissory note, the principal amount of which, along with all accrued and unpaid interest thereunder, converted into 23,432 shares of our Series B convertible preferred stock in January 2023; and</w:t>
      </w:r>
    </w:p>
    <w:p>
      <w:pPr>
        <w:spacing w:after="0" w:line="1" w:lineRule="exact"/>
        <w:rPr>
          <w:rFonts w:ascii="Arial" w:cs="Arial" w:eastAsia="Arial" w:hAnsi="Arial"/>
          <w:sz w:val="16"/>
          <w:szCs w:val="16"/>
          <w:color w:val="auto"/>
        </w:rPr>
      </w:pPr>
    </w:p>
    <w:p>
      <w:pPr>
        <w:jc w:val="both"/>
        <w:ind w:left="980" w:hanging="327"/>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September 2022 placement of $4.35 million of our unsecured convertible promissory notes, the principal amount of which, along with all accrued and unpaid interest thereunder, is convertible into shares of our common at the per share conversion price equal to the lower of (i) $30 million divided the number of our shares of common stock issued and outstanding, on a fully diluted basis, immediately prior to the close of this offering or (ii) 50% of the price per share in this offering.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259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8259445"/>
                    </a:xfrm>
                    <a:prstGeom prst="rect">
                      <a:avLst/>
                    </a:prstGeom>
                    <a:noFill/>
                  </pic:spPr>
                </pic:pic>
              </a:graphicData>
            </a:graphic>
          </wp:anchor>
        </w:drawing>
        <w:t>Except as otherwise indicated, all information in this prospectus concerning our outstanding shares of common stock assumes the automatic conversion of the above-described shares of convertible preferred stock and convertible notes into a total of approximately 9,542,519 shares of our common stock upon the consummation of this offering, assuming an initial public offering price of $5.00 per share (which is the midpoint of the price range set forth on the cover page of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our Capitalization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17, 2023, we amended and restated our certificate of incorporation to (i) increase our authorized common stock from 1,950,000 shares to 100,000,000 shares, (ii) change the par value of our capital stock from $0.01 to $0.0001, (iii) change our corporate name from “Azitra Inc” to “Azitra, Inc.” and (iv) effect a 7.1-for-1 forward stock split of our outstanding common stock, or the Stock Split. Upon the effectiveness of the registration statement of which this prospectus forms a part, we plan to further amend and restate our certificate of incorporation to authorize 10,000,000 shares of “blank check” preferred stock. As a result of the Stock Split, and after giving effect to the conversion of all outstanding shares of convertible preferred stock and convertible notes discussed immediately above, we will have 10,586,510 shares of common stock issued and outstanding immediately prior to the close of this offering, assuming an initial public offering price of $5.00 per share (which is the midpoint of the price range set forth on the cover page of this prospectus).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indicated herein, all share and share price information in this prospectus have been adjusted to give effect to the Stock Split. In addition, except for the financial statements included elsewhere in this prospectus, and as otherwise indicated herein, all information in this prospectus concerning our outstanding shares of common stock assumes the automatic conversion of the above-described shares of convertible preferred stock and convertible notes upon the consummation of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w:t>
      </w:r>
    </w:p>
    <w:p>
      <w:pPr>
        <w:spacing w:after="0" w:line="187" w:lineRule="exact"/>
        <w:rPr>
          <w:sz w:val="20"/>
          <w:szCs w:val="20"/>
          <w:color w:val="auto"/>
        </w:rPr>
      </w:pPr>
    </w:p>
    <w:p>
      <w:pPr>
        <w:ind w:left="980" w:hanging="327"/>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that our internal control over financial reporting be attested to by our independent registered public accounting firm pursuant to Section 404 of the Sarbanes-Oxley Act of 2002;</w:t>
      </w:r>
    </w:p>
    <w:p>
      <w:pPr>
        <w:spacing w:after="0" w:line="1" w:lineRule="exact"/>
        <w:rPr>
          <w:rFonts w:ascii="Arial" w:cs="Arial" w:eastAsia="Arial" w:hAnsi="Arial"/>
          <w:sz w:val="18"/>
          <w:szCs w:val="18"/>
          <w:color w:val="auto"/>
        </w:rPr>
      </w:pPr>
    </w:p>
    <w:p>
      <w:pPr>
        <w:ind w:left="980" w:hanging="327"/>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requirements related to the disclosure of executive compensation in this prospectus and in our periodic reports and proxy statements;</w:t>
      </w:r>
    </w:p>
    <w:p>
      <w:pPr>
        <w:ind w:left="980" w:hanging="327"/>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requirement that we hold a nonbinding advisory vote on executive compensation and any golden parachute payments; and</w:t>
      </w:r>
    </w:p>
    <w:p>
      <w:pPr>
        <w:spacing w:after="0" w:line="20" w:lineRule="exact"/>
        <w:rPr>
          <w:rFonts w:ascii="Arial" w:cs="Arial" w:eastAsia="Arial" w:hAnsi="Arial"/>
          <w:sz w:val="17"/>
          <w:szCs w:val="17"/>
          <w:color w:val="auto"/>
        </w:rPr>
      </w:pPr>
    </w:p>
    <w:p>
      <w:pPr>
        <w:ind w:left="980" w:hanging="327"/>
        <w:spacing w:after="0" w:line="26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delay compliance with new or revised financial accounting standards until private companies are required to comply with the new or revised financial accounting standard.</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take advantage of the exemptions under the JOBS Act discussed above until we are no longer an emerging growth company. We will remain an emerging growth company until the earliest to occur of (1) the last day of the fiscal year in which we have $1.07 billion or more in annual revenue; (2) the date we qualify as a “large accelerated filer,” with at least $700 million of equity securities held by non-affiliates; (3) the date on which we have issued, in any three-year period, more than $1.0 billion in non-convertible debt securities; or (4) the last day of the fiscal year ending after the fifth anniversary of our initial public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choose to take advantage of some, but not all, of the available benefits under the JOBS Act. We are choosing to take advantage of all of the other exemptions discussed above. Accordingly, the information contained herein and in our subsequent filing with the SEC may be different than the information you receive from other public companies in which you hold stock.</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certain risks related to our status as an emerging growth company, see the disclosure elsewhere in this prospectus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this Offering and Owning Our Common Stock - we are an ‘emerging growth company’ under the JOBS Act and we cannot be certain if the reduced disclosure requirements applicable to emerging growth companies will make our common stock less attractive to investors</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equals or exceeds $700 million as of the end of that year’s second fiscal quarter.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Issuer</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Azitra, Inc.</w:t>
            </w:r>
          </w:p>
        </w:tc>
      </w:tr>
      <w:tr>
        <w:trPr>
          <w:trHeight w:val="432"/>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Common stock offered</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1,500,000 shares</w:t>
            </w:r>
          </w:p>
        </w:tc>
      </w:tr>
      <w:tr>
        <w:trPr>
          <w:trHeight w:val="418"/>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Common stock to be outstanding after this offering</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8"/>
              </w:rPr>
              <w:t>12,086,510 shares (or 12,311,510 shares if the underwriters’ option to</w:t>
            </w:r>
          </w:p>
        </w:tc>
      </w:tr>
      <w:tr>
        <w:trPr>
          <w:trHeight w:val="230"/>
        </w:trPr>
        <w:tc>
          <w:tcPr>
            <w:tcW w:w="4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purchase additional shares is exercised in full) of common stock.</w:t>
            </w:r>
          </w:p>
        </w:tc>
      </w:tr>
      <w:tr>
        <w:trPr>
          <w:trHeight w:val="418"/>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Over-allotment option</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We have granted the underwriters the option to purchase up to an</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additional 225,000 shares of our common stock at the initial public</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offering price, less the underwriting discount, within 45 days of the date</w:t>
            </w:r>
          </w:p>
        </w:tc>
      </w:tr>
      <w:tr>
        <w:trPr>
          <w:trHeight w:val="230"/>
        </w:trPr>
        <w:tc>
          <w:tcPr>
            <w:tcW w:w="4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of this prospectus, to cover over-allotments, if any.</w:t>
            </w:r>
          </w:p>
        </w:tc>
      </w:tr>
      <w:tr>
        <w:trPr>
          <w:trHeight w:val="418"/>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We estimate that we will receive net proceeds of approximately $6.5</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million from our sale of common stock in this offering, or approximately</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$7.5 million if the underwriters exercise their over-allotment option in</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full, based on an initial public offering price of $5.00 per share (which is</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the midpoint of the price range set forth on the cover page of this</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prospectus). We intend to use the net proceeds from this offering, along</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4"/>
              </w:rPr>
              <w:t>with our existing cash and cash equivalents, for clinical trials and product</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5"/>
              </w:rPr>
              <w:t>development, research and development, clinical manufacturing as well</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9"/>
              </w:rPr>
              <w:t>as for working capital and other general corporate purposes. See the</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section titled “</w:t>
            </w:r>
            <w:r>
              <w:rPr>
                <w:rFonts w:ascii="Arial" w:cs="Arial" w:eastAsia="Arial" w:hAnsi="Arial"/>
                <w:sz w:val="18"/>
                <w:szCs w:val="18"/>
                <w:i w:val="1"/>
                <w:iCs w:val="1"/>
                <w:color w:val="auto"/>
                <w:w w:val="97"/>
              </w:rPr>
              <w:t>Use of Proceeds</w:t>
            </w:r>
            <w:r>
              <w:rPr>
                <w:rFonts w:ascii="Arial" w:cs="Arial" w:eastAsia="Arial" w:hAnsi="Arial"/>
                <w:sz w:val="18"/>
                <w:szCs w:val="18"/>
                <w:color w:val="auto"/>
                <w:w w:val="97"/>
              </w:rPr>
              <w:t>” in this prospectus for a more complete</w:t>
            </w:r>
          </w:p>
        </w:tc>
      </w:tr>
      <w:tr>
        <w:trPr>
          <w:trHeight w:val="230"/>
        </w:trPr>
        <w:tc>
          <w:tcPr>
            <w:tcW w:w="4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description of the intended use of processed from this offering.</w:t>
            </w:r>
          </w:p>
        </w:tc>
      </w:tr>
      <w:tr>
        <w:trPr>
          <w:trHeight w:val="418"/>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Proposed trading market and symbol</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We have applied to list our common stock for trading on the NYSE</w:t>
            </w:r>
          </w:p>
        </w:tc>
      </w:tr>
      <w:tr>
        <w:trPr>
          <w:trHeight w:val="230"/>
        </w:trPr>
        <w:tc>
          <w:tcPr>
            <w:tcW w:w="4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American under the symbol “AZTR”</w:t>
            </w:r>
          </w:p>
        </w:tc>
      </w:tr>
      <w:tr>
        <w:trPr>
          <w:trHeight w:val="418"/>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8"/>
              </w:rPr>
              <w:t>Investing in our common stock involves a high degree of risk. See the</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8"/>
              </w:rPr>
              <w:t>section  titled  “</w:t>
            </w:r>
            <w:r>
              <w:rPr>
                <w:rFonts w:ascii="Arial" w:cs="Arial" w:eastAsia="Arial" w:hAnsi="Arial"/>
                <w:sz w:val="18"/>
                <w:szCs w:val="18"/>
                <w:i w:val="1"/>
                <w:iCs w:val="1"/>
                <w:color w:val="auto"/>
                <w:w w:val="98"/>
              </w:rPr>
              <w:t>Risk  Factors</w:t>
            </w:r>
            <w:r>
              <w:rPr>
                <w:rFonts w:ascii="Arial" w:cs="Arial" w:eastAsia="Arial" w:hAnsi="Arial"/>
                <w:sz w:val="18"/>
                <w:szCs w:val="18"/>
                <w:color w:val="auto"/>
                <w:w w:val="98"/>
              </w:rPr>
              <w:t>”  beginning  on  page  11  and  the  other</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information in this prospectus for a discussion of the factors you should</w:t>
            </w:r>
          </w:p>
        </w:tc>
      </w:tr>
      <w:tr>
        <w:trPr>
          <w:trHeight w:val="230"/>
        </w:trPr>
        <w:tc>
          <w:tcPr>
            <w:tcW w:w="4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consider carefully before you decide to invest in our common stock.</w:t>
            </w:r>
          </w:p>
        </w:tc>
      </w:tr>
      <w:tr>
        <w:trPr>
          <w:trHeight w:val="418"/>
        </w:trPr>
        <w:tc>
          <w:tcPr>
            <w:tcW w:w="40" w:type="dxa"/>
            <w:vAlign w:val="bottom"/>
            <w:tcBorders>
              <w:right w:val="single" w:sz="8" w:color="auto"/>
            </w:tcBorders>
          </w:tcPr>
          <w:p>
            <w:pPr>
              <w:spacing w:after="0"/>
              <w:rPr>
                <w:sz w:val="24"/>
                <w:szCs w:val="24"/>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Lock-Up</w:t>
            </w: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We, each of our directors, officers and any stockholder that owns 0.5% or</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more common stock have agreed, subject to certain exceptions, not to</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sell, offer, agree to sell, contract to sell, hypothecate, pledge, grant any</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8"/>
              </w:rPr>
              <w:t>option to purchase, make any short sale of, or otherwise dispose of or</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hedge, directly or indirectly, any shares of our capital stock or any</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7"/>
              </w:rPr>
              <w:t>securities convertible into or exercisable or exchangeable for shares of</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capital stock, for a period of six (6) months or twelve (12) months, as</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applicable, after the date of this prospectus, without the prior written</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consent of the representative. Following the expiration of the applicable</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6"/>
              </w:rPr>
              <w:t>lock-up period, all of the issued and outstanding shares of our common</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stock will be eligible for future sale, subject to the applicable volume,</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w w:val="93"/>
              </w:rPr>
              <w:t>manner of sale, holding period, and other limitations of Rule 144. See the</w:t>
            </w:r>
          </w:p>
        </w:tc>
      </w:tr>
      <w:tr>
        <w:trPr>
          <w:trHeight w:val="216"/>
        </w:trPr>
        <w:tc>
          <w:tcPr>
            <w:tcW w:w="40" w:type="dxa"/>
            <w:vAlign w:val="bottom"/>
            <w:tcBorders>
              <w:right w:val="single" w:sz="8" w:color="auto"/>
            </w:tcBorders>
          </w:tcPr>
          <w:p>
            <w:pPr>
              <w:spacing w:after="0"/>
              <w:rPr>
                <w:sz w:val="18"/>
                <w:szCs w:val="18"/>
                <w:color w:val="auto"/>
              </w:rPr>
            </w:pPr>
          </w:p>
        </w:tc>
        <w:tc>
          <w:tcPr>
            <w:tcW w:w="4360" w:type="dxa"/>
            <w:vAlign w:val="bottom"/>
          </w:tcPr>
          <w:p>
            <w:pPr>
              <w:spacing w:after="0"/>
              <w:rPr>
                <w:sz w:val="18"/>
                <w:szCs w:val="18"/>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section  of  this  prospectus  entitled  “</w:t>
            </w:r>
            <w:r>
              <w:rPr>
                <w:rFonts w:ascii="Arial" w:cs="Arial" w:eastAsia="Arial" w:hAnsi="Arial"/>
                <w:sz w:val="18"/>
                <w:szCs w:val="18"/>
                <w:i w:val="1"/>
                <w:iCs w:val="1"/>
                <w:color w:val="auto"/>
              </w:rPr>
              <w:t>Underwriting</w:t>
            </w:r>
            <w:r>
              <w:rPr>
                <w:rFonts w:ascii="Arial" w:cs="Arial" w:eastAsia="Arial" w:hAnsi="Arial"/>
                <w:sz w:val="18"/>
                <w:szCs w:val="18"/>
                <w:color w:val="auto"/>
              </w:rPr>
              <w:t>”  for  additional</w:t>
            </w:r>
          </w:p>
        </w:tc>
      </w:tr>
      <w:tr>
        <w:trPr>
          <w:trHeight w:val="230"/>
        </w:trPr>
        <w:tc>
          <w:tcPr>
            <w:tcW w:w="40" w:type="dxa"/>
            <w:vAlign w:val="bottom"/>
            <w:tcBorders>
              <w:right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684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information.</w:t>
            </w:r>
          </w:p>
        </w:tc>
      </w:tr>
      <w:tr>
        <w:trPr>
          <w:trHeight w:val="219"/>
        </w:trPr>
        <w:tc>
          <w:tcPr>
            <w:tcW w:w="40" w:type="dxa"/>
            <w:vAlign w:val="bottom"/>
            <w:tcBorders>
              <w:right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6840" w:type="dxa"/>
            <w:vAlign w:val="bottom"/>
            <w:tcBorders>
              <w:bottom w:val="single" w:sz="8" w:color="auto"/>
              <w:right w:val="single" w:sz="8" w:color="auto"/>
            </w:tcBorders>
          </w:tcPr>
          <w:p>
            <w:pPr>
              <w:spacing w:after="0"/>
              <w:rPr>
                <w:sz w:val="19"/>
                <w:szCs w:val="19"/>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663"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3047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3047365"/>
                    </a:xfrm>
                    <a:prstGeom prst="rect">
                      <a:avLst/>
                    </a:prstGeom>
                    <a:noFill/>
                  </pic:spPr>
                </pic:pic>
              </a:graphicData>
            </a:graphic>
          </wp:anchor>
        </w:drawing>
        <w:t>The number of shares of our common stock to be outstanding after this offering is based on 10,586,510 shares of our common stock outstanding as of June 2, 2023 (after giving effect to the Stock Split and the conversion of our shares of convertible preferred stock and convertible promissory notes described above), and excludes:</w:t>
      </w:r>
    </w:p>
    <w:p>
      <w:pPr>
        <w:spacing w:after="0" w:line="184" w:lineRule="exact"/>
        <w:rPr>
          <w:sz w:val="20"/>
          <w:szCs w:val="20"/>
          <w:color w:val="auto"/>
        </w:rPr>
      </w:pPr>
    </w:p>
    <w:p>
      <w:pPr>
        <w:ind w:left="980" w:hanging="327"/>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1,290,319 shares of our common stock issuable upon exercise of outstanding options, with a weighted average exercise price of $1.33 per share, granted pursuant to our 2016 Stock Incentive Plan, or the 2016 Plan;</w:t>
      </w:r>
    </w:p>
    <w:p>
      <w:pPr>
        <w:spacing w:after="0" w:line="1" w:lineRule="exact"/>
        <w:rPr>
          <w:rFonts w:ascii="Arial" w:cs="Arial" w:eastAsia="Arial" w:hAnsi="Arial"/>
          <w:sz w:val="18"/>
          <w:szCs w:val="18"/>
          <w:color w:val="auto"/>
        </w:rPr>
      </w:pPr>
    </w:p>
    <w:p>
      <w:pPr>
        <w:ind w:left="980" w:hanging="327"/>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275,210 shares of our common stock issuable upon exercise of outstanding warrants, with a weighted average exercise price of $4.23 per share</w:t>
      </w:r>
    </w:p>
    <w:p>
      <w:pPr>
        <w:ind w:left="980" w:hanging="32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225,000 shares issuable pursuant to the underwriters’ over-allotment option;</w:t>
      </w:r>
    </w:p>
    <w:p>
      <w:pPr>
        <w:spacing w:after="0" w:line="9" w:lineRule="exact"/>
        <w:rPr>
          <w:rFonts w:ascii="Arial" w:cs="Arial" w:eastAsia="Arial" w:hAnsi="Arial"/>
          <w:sz w:val="18"/>
          <w:szCs w:val="18"/>
          <w:color w:val="auto"/>
        </w:rPr>
      </w:pPr>
    </w:p>
    <w:p>
      <w:pPr>
        <w:ind w:left="980" w:hanging="327"/>
        <w:spacing w:after="0" w:line="265"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60,000 shares issuable upon exercise of a warrant to be issued to the underwriter as part of its compensation in connection with this offering (up to 69,000 shares if the over-allotment option is exercised in full) at an exercise price of $6.25 per share; and</w:t>
      </w:r>
    </w:p>
    <w:p>
      <w:pPr>
        <w:ind w:left="980" w:hanging="327"/>
        <w:spacing w:after="0" w:line="26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157,989 shares of our common stock reserved for future grants under our 2016 Plan and 2,000,000 shares of our common stock reserved for future grants under our 2023 Stock Incentive Plan, or the 2023 Plan.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we indicate otherwise or unless the context otherwise requires, all information in this prospectus assumes the following:</w:t>
      </w:r>
    </w:p>
    <w:p>
      <w:pPr>
        <w:spacing w:after="0" w:line="225" w:lineRule="exact"/>
        <w:rPr>
          <w:sz w:val="20"/>
          <w:szCs w:val="20"/>
          <w:color w:val="auto"/>
        </w:rPr>
      </w:pPr>
    </w:p>
    <w:p>
      <w:pPr>
        <w:ind w:left="980" w:hanging="327"/>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and all of our convertible promissory notes upon the close of this offering;</w:t>
      </w:r>
    </w:p>
    <w:p>
      <w:pPr>
        <w:spacing w:after="0" w:line="1" w:lineRule="exact"/>
        <w:rPr>
          <w:rFonts w:ascii="Arial" w:cs="Arial" w:eastAsia="Arial" w:hAnsi="Arial"/>
          <w:sz w:val="18"/>
          <w:szCs w:val="18"/>
          <w:color w:val="auto"/>
        </w:rPr>
      </w:pPr>
    </w:p>
    <w:p>
      <w:pPr>
        <w:ind w:left="980" w:hanging="32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warrants or options described above; and</w:t>
      </w:r>
    </w:p>
    <w:p>
      <w:pPr>
        <w:spacing w:after="0" w:line="9" w:lineRule="exact"/>
        <w:rPr>
          <w:rFonts w:ascii="Arial" w:cs="Arial" w:eastAsia="Arial" w:hAnsi="Arial"/>
          <w:sz w:val="18"/>
          <w:szCs w:val="18"/>
          <w:color w:val="auto"/>
        </w:rPr>
      </w:pPr>
    </w:p>
    <w:p>
      <w:pPr>
        <w:ind w:left="980" w:hanging="32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business is subject to numerous risks, including risks that may prevent us from achieving our business objectives or adversely affect our business, results of operations, cash flows, and prospects, to consider before investing in our common stock. These risks are further discussed in the section “</w:t>
      </w:r>
      <w:r>
        <w:rPr>
          <w:rFonts w:ascii="Arial" w:cs="Arial" w:eastAsia="Arial" w:hAnsi="Arial"/>
          <w:sz w:val="18"/>
          <w:szCs w:val="18"/>
          <w:i w:val="1"/>
          <w:iCs w:val="1"/>
          <w:color w:val="auto"/>
        </w:rPr>
        <w:t>Risk Factors</w:t>
      </w:r>
      <w:r>
        <w:rPr>
          <w:rFonts w:ascii="Arial" w:cs="Arial" w:eastAsia="Arial" w:hAnsi="Arial"/>
          <w:sz w:val="18"/>
          <w:szCs w:val="18"/>
          <w:color w:val="auto"/>
        </w:rPr>
        <w:t>” immediately following this prospectus summary</w:t>
      </w:r>
      <w:r>
        <w:rPr>
          <w:rFonts w:ascii="Arial" w:cs="Arial" w:eastAsia="Arial" w:hAnsi="Arial"/>
          <w:sz w:val="18"/>
          <w:szCs w:val="18"/>
          <w:i w:val="1"/>
          <w:iCs w:val="1"/>
          <w:color w:val="auto"/>
        </w:rPr>
        <w:t>.</w:t>
      </w:r>
      <w:r>
        <w:rPr>
          <w:rFonts w:ascii="Arial" w:cs="Arial" w:eastAsia="Arial" w:hAnsi="Arial"/>
          <w:sz w:val="18"/>
          <w:szCs w:val="18"/>
          <w:color w:val="auto"/>
        </w:rPr>
        <w:t xml:space="preserve"> Some of those risks include:</w:t>
      </w:r>
    </w:p>
    <w:p>
      <w:pPr>
        <w:spacing w:after="0" w:line="18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an early-stage clinical biopharmaceutical company with limited operating history;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significant operating losses and anticipate continued operating losses for the foreseeable future;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we will need additional financing to execute our business plan and fund operations, which additional financing may not be available on reasonable terms or at all;</w:t>
      </w: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clinical and commercial utility of our microbial library and genetic engineering platform is uncertain and may never be realized;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product candidates are in early stages of development, and therefore they will require extensive additional preclinical and clinical testing;</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business, including our clinical trials, supply chain and business development activities;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need to grow the size of our organization, and we may experience difficulties in managing this growth;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currently have no sales and marketing organization;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be completely dependent for the foreseeable future on third parties to manufacture our product candidates for commercial sale;</w:t>
      </w:r>
    </w:p>
    <w:p>
      <w:pPr>
        <w:spacing w:after="0" w:line="20" w:lineRule="exact"/>
        <w:rPr>
          <w:rFonts w:ascii="Arial" w:cs="Arial" w:eastAsia="Arial" w:hAnsi="Arial"/>
          <w:sz w:val="17"/>
          <w:szCs w:val="17"/>
          <w:color w:val="auto"/>
        </w:rPr>
      </w:pPr>
    </w:p>
    <w:p>
      <w:pPr>
        <w:jc w:val="both"/>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model includes the potential out-licensing of strains from our proprietary microbial library or our product candidates to other pharmaceutical companies, however technology licensing in the pharmaceutical industry is a lengthy process and subject to several risks and factors outside of our control;</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may suffer with the loss of key personnel;</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may incur substantial liabilities and may be required to limit commercialization of our product candidates;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operations could suffer in the event of information technology systems’ failures or security breaches;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targeting medical dermatological indications;</w:t>
      </w:r>
    </w:p>
    <w:p>
      <w:pPr>
        <w:spacing w:after="0" w:line="20" w:lineRule="exact"/>
        <w:rPr>
          <w:rFonts w:ascii="Arial" w:cs="Arial" w:eastAsia="Arial" w:hAnsi="Arial"/>
          <w:sz w:val="17"/>
          <w:szCs w:val="17"/>
          <w:color w:val="auto"/>
        </w:rPr>
      </w:pPr>
    </w:p>
    <w:p>
      <w:pPr>
        <w:ind w:left="980" w:hanging="324"/>
        <w:spacing w:after="0" w:line="265"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or any future product candidates;</w:t>
      </w: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results of preclinical studies of our product candidates may not be predictive of the results of future preclinical studies or clinical trials;</w:t>
      </w:r>
    </w:p>
    <w:p>
      <w:pPr>
        <w:spacing w:after="0" w:line="20"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may not be able to successfully commercialize the product and the revenue that we generate from its sales, if any, may be limited;</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and future legislation may increase the difficulty and cost for us to obtain marketing approval of and commercialize our product candidates and affect the prices we may obtain;</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difficult and costly to protect our intellectual property rights, and we cannot ensure the protection of these rights;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may infringe the intellectual property rights of others, which could increase our costs and delay or prevent our development and commercialization efforts;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active, liquid and orderly trading market for our shares may not develop;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raises may dilute your ownership and have other adverse effects on our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shares may be subject to fluctuation and volatility;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maintain an effective system of internal control over financial reporting, we may not be able to accurately report our financial results or prevent fraud;</w:t>
      </w: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ratified certain corporate actions pursuant to Section 204 of the Delaware General Corporate Law, or DGCL, however there can be no assurance that claims will not be made to challenge the validity of the ratification or the related corporate actions; and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charter documents and Delaware law may inhibit a takeover that stockholders consider favorable.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following tables summarize our financial data. You should read this summary financial data together with the section entitled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and our financial statements and related notes that are included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The financial information as of and for the fiscal years ended December 31, 2022 and 2021 is derived from the audited financial statements that are included elsewhere in this prospectus. The financial information for the three months ended March 31, 2023 and 2022 are derived from our unaudited financial statements included elsewhere in this prospectus. The unaudited financial statements were prepared on the same basis as the audited financial statements. Our management believes that the unaudited financial statements reflect all adjustments necessary for the fair presentation of the financial condition and results of operations for such periods. Our historical results are not necessarily indicative of the results that may be expected in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future.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9"/>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amounts)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r>
      <w:tr>
        <w:trPr>
          <w:trHeight w:val="230"/>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0"/>
              </w:rPr>
              <w:t>(unaudited)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(2,457)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(2,326)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(10,680)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(8,940)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r>
      <w:tr>
        <w:trPr>
          <w:trHeight w:val="257"/>
        </w:trPr>
        <w:tc>
          <w:tcPr>
            <w:tcW w:w="4940" w:type="dxa"/>
            <w:vAlign w:val="bottom"/>
          </w:tcPr>
          <w:p>
            <w:pPr>
              <w:spacing w:after="0" w:line="256" w:lineRule="exact"/>
              <w:rPr>
                <w:sz w:val="20"/>
                <w:szCs w:val="20"/>
                <w:color w:val="auto"/>
              </w:rPr>
            </w:pPr>
            <w:r>
              <w:rPr>
                <w:rFonts w:ascii="Arial" w:cs="Arial" w:eastAsia="Arial" w:hAnsi="Arial"/>
                <w:sz w:val="18"/>
                <w:szCs w:val="18"/>
                <w:color w:val="auto"/>
              </w:rPr>
              <w:t>Net loss – pro forma and pro forma as adjusted</w:t>
            </w:r>
            <w:r>
              <w:rPr>
                <w:rFonts w:ascii="Arial" w:cs="Arial" w:eastAsia="Arial" w:hAnsi="Arial"/>
                <w:sz w:val="29"/>
                <w:szCs w:val="29"/>
                <w:color w:val="auto"/>
                <w:vertAlign w:val="superscript"/>
              </w:rPr>
              <w:t>(1)(2)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(2,310)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(14,014)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(8,940)</w:t>
            </w:r>
          </w:p>
        </w:tc>
      </w:tr>
      <w:tr>
        <w:trPr>
          <w:trHeight w:val="270"/>
        </w:trPr>
        <w:tc>
          <w:tcPr>
            <w:tcW w:w="49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Loss per share, basic and diluted – pro forma</w:t>
            </w:r>
            <w:r>
              <w:rPr>
                <w:rFonts w:ascii="Arial" w:cs="Arial" w:eastAsia="Arial" w:hAnsi="Arial"/>
                <w:sz w:val="29"/>
                <w:szCs w:val="29"/>
                <w:color w:val="auto"/>
                <w:vertAlign w:val="superscript"/>
              </w:rPr>
              <w:t>(1)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r>
      <w:tr>
        <w:trPr>
          <w:trHeight w:val="390"/>
        </w:trPr>
        <w:tc>
          <w:tcPr>
            <w:tcW w:w="4940" w:type="dxa"/>
            <w:vAlign w:val="bottom"/>
          </w:tcPr>
          <w:p>
            <w:pPr>
              <w:spacing w:after="0"/>
              <w:rPr>
                <w:sz w:val="20"/>
                <w:szCs w:val="20"/>
                <w:color w:val="auto"/>
              </w:rPr>
            </w:pPr>
            <w:r>
              <w:rPr>
                <w:rFonts w:ascii="Arial" w:cs="Arial" w:eastAsia="Arial" w:hAnsi="Arial"/>
                <w:sz w:val="18"/>
                <w:szCs w:val="18"/>
                <w:color w:val="auto"/>
              </w:rPr>
              <w:t>Loss per share, basic and diluted – pro forma as adjusted</w:t>
            </w:r>
            <w:r>
              <w:rPr>
                <w:rFonts w:ascii="Arial" w:cs="Arial" w:eastAsia="Arial" w:hAnsi="Arial"/>
                <w:sz w:val="29"/>
                <w:szCs w:val="29"/>
                <w:color w:val="auto"/>
                <w:vertAlign w:val="superscript"/>
              </w:rPr>
              <w:t>(2)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 2023</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 Forma as</w:t>
            </w:r>
          </w:p>
        </w:tc>
        <w:tc>
          <w:tcPr>
            <w:tcW w:w="100" w:type="dxa"/>
            <w:vAlign w:val="bottom"/>
          </w:tcPr>
          <w:p>
            <w:pPr>
              <w:spacing w:after="0"/>
              <w:rPr>
                <w:sz w:val="18"/>
                <w:szCs w:val="18"/>
                <w:color w:val="auto"/>
              </w:rPr>
            </w:pPr>
          </w:p>
        </w:tc>
      </w:tr>
      <w:tr>
        <w:trPr>
          <w:trHeight w:val="284"/>
        </w:trPr>
        <w:tc>
          <w:tcPr>
            <w:tcW w:w="606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4"/>
                <w:szCs w:val="2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Actual</w:t>
            </w:r>
          </w:p>
        </w:tc>
        <w:tc>
          <w:tcPr>
            <w:tcW w:w="120" w:type="dxa"/>
            <w:vAlign w:val="bottom"/>
          </w:tcPr>
          <w:p>
            <w:pPr>
              <w:spacing w:after="0"/>
              <w:rPr>
                <w:sz w:val="24"/>
                <w:szCs w:val="24"/>
                <w:color w:val="auto"/>
              </w:rPr>
            </w:pPr>
          </w:p>
        </w:tc>
        <w:tc>
          <w:tcPr>
            <w:tcW w:w="1680" w:type="dxa"/>
            <w:vAlign w:val="bottom"/>
            <w:gridSpan w:val="2"/>
          </w:tcPr>
          <w:p>
            <w:pPr>
              <w:jc w:val="center"/>
              <w:ind w:right="460"/>
              <w:spacing w:after="0" w:line="277" w:lineRule="exact"/>
              <w:rPr>
                <w:sz w:val="20"/>
                <w:szCs w:val="20"/>
                <w:color w:val="auto"/>
              </w:rPr>
            </w:pPr>
            <w:r>
              <w:rPr>
                <w:rFonts w:ascii="Arial" w:cs="Arial" w:eastAsia="Arial" w:hAnsi="Arial"/>
                <w:sz w:val="18"/>
                <w:szCs w:val="18"/>
                <w:b w:val="1"/>
                <w:bCs w:val="1"/>
                <w:color w:val="auto"/>
                <w:w w:val="89"/>
              </w:rPr>
              <w:t>Pro Forma</w:t>
            </w:r>
            <w:r>
              <w:rPr>
                <w:rFonts w:ascii="Arial" w:cs="Arial" w:eastAsia="Arial" w:hAnsi="Arial"/>
                <w:sz w:val="29"/>
                <w:szCs w:val="29"/>
                <w:b w:val="1"/>
                <w:bCs w:val="1"/>
                <w:color w:val="auto"/>
                <w:w w:val="89"/>
                <w:vertAlign w:val="superscript"/>
              </w:rPr>
              <w:t>(1)</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line="277" w:lineRule="exact"/>
              <w:rPr>
                <w:sz w:val="20"/>
                <w:szCs w:val="20"/>
                <w:color w:val="auto"/>
              </w:rPr>
            </w:pPr>
            <w:r>
              <w:rPr>
                <w:rFonts w:ascii="Arial" w:cs="Arial" w:eastAsia="Arial" w:hAnsi="Arial"/>
                <w:sz w:val="18"/>
                <w:szCs w:val="18"/>
                <w:b w:val="1"/>
                <w:bCs w:val="1"/>
                <w:color w:val="auto"/>
                <w:w w:val="87"/>
              </w:rPr>
              <w:t>Adjusted</w:t>
            </w:r>
            <w:r>
              <w:rPr>
                <w:rFonts w:ascii="Arial" w:cs="Arial" w:eastAsia="Arial" w:hAnsi="Arial"/>
                <w:sz w:val="29"/>
                <w:szCs w:val="29"/>
                <w:b w:val="1"/>
                <w:bCs w:val="1"/>
                <w:color w:val="auto"/>
                <w:w w:val="87"/>
                <w:vertAlign w:val="superscript"/>
              </w:rPr>
              <w:t>(2)</w:t>
            </w:r>
          </w:p>
        </w:tc>
      </w:tr>
      <w:tr>
        <w:trPr>
          <w:trHeight w:val="216"/>
        </w:trPr>
        <w:tc>
          <w:tcPr>
            <w:tcW w:w="6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1,833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1,833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5,655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5,655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tcPr>
          <w:p>
            <w:pPr>
              <w:spacing w:after="0"/>
              <w:rPr>
                <w:sz w:val="18"/>
                <w:szCs w:val="18"/>
                <w:color w:val="auto"/>
              </w:rPr>
            </w:pPr>
          </w:p>
        </w:tc>
      </w:tr>
      <w:tr>
        <w:trPr>
          <w:trHeight w:val="257"/>
        </w:trPr>
        <w:tc>
          <w:tcPr>
            <w:tcW w:w="6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Convertible notes payable</w:t>
            </w:r>
            <w:r>
              <w:rPr>
                <w:rFonts w:ascii="Arial" w:cs="Arial" w:eastAsia="Arial" w:hAnsi="Arial"/>
                <w:sz w:val="29"/>
                <w:szCs w:val="29"/>
                <w:color w:val="auto"/>
                <w:vertAlign w:val="superscript"/>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(34,819)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1,093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46,024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loss per share includes a $2.8 million loss upon conversion of our convertible promissory notes, and the pro forma column reflects the</w:t>
      </w:r>
    </w:p>
    <w:p>
      <w:pPr>
        <w:spacing w:after="0" w:line="46" w:lineRule="exact"/>
        <w:rPr>
          <w:rFonts w:ascii="Arial" w:cs="Arial" w:eastAsia="Arial" w:hAnsi="Arial"/>
          <w:sz w:val="16"/>
          <w:szCs w:val="16"/>
          <w:color w:val="auto"/>
        </w:rPr>
      </w:pPr>
    </w:p>
    <w:p>
      <w:pPr>
        <w:jc w:val="both"/>
        <w:ind w:left="340" w:hanging="8"/>
        <w:spacing w:after="0" w:line="250" w:lineRule="auto"/>
        <w:tabs>
          <w:tab w:leader="none" w:pos="576"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Stock Split, (ii) automatic conversion of all of our outstanding shares of convertible preferred stock at the close of this offering into 7,693,436 shares of our common stock and reclassification into common stock, and (iii) automatic conversion of all principal and accrued and unpaid interest under our outstanding convertible promissory notes at the close of this offering into approximately 1,838,775 shares of our common stock and additional paid-in capital, assuming an initial public offering price of $5.00 per share (which is the midpoint of the price range set forth on the cover page of this prospectus).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as adjusted column reflects all adjustments included in the pro forma column and gives effect to the sale by us of 1,500,000 shares of common stock offered by this prospectus, assuming an initial public offering price of $5.00 per share (which is the midpoint of the price range set forth on the cover page of this prospectus), after deducting underwriting discounts and commissions and estimated offering costs payable by us.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fair value of the convertible note as we have elected to account for the instrument at its fair value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Any investment in our common stock involves a high degree of risk. You should carefully consider the risks described below, which we believe represent certain of the material risks to our business, together with the information contained elsewhere in this prospectus, before you make a decision to invest in our common stock. Please note that the risks highlighted here are not the only ones that we may face. For example, additional risks presently unknown to us or that we currently consider immaterial or unlikely to occur could also impair our operations. If any of the following events occur or any additional risks presently unknown to us actually occur, our business, financial condition and operating results may be materially adversely affected. In that event, the trading price of our common stock could decline and you could lose all or part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an early-stage clinical biopharmaceutical company with limited operating history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an early-stage clinical biopharmaceutical company, incorporated on January 2, 2014, and have limited operating history. We have not commenced revenue-producing operations apart from limited grant and service revenue. To date, our operations have consisted of the development of our proprietary microbial library, the identification, characterization, genetic engineering and testing of certain bacterial species to provide therapeutic effect and the development of our initial product candidates. Our limited operating history makes it difficult for potential investors to evaluate our technology or prospective operations. As an early-stage clinical biopharmaceutical company, we are subject to all the risks inherent in the organization, financing, expenditures, complications and delays involved with a new business. Accordingly, you should consider our prospects in light of the costs, uncertainties, delays and difficulties frequently encountered by companies in the early stages of development, especially early-stage clinical-stage biopharmaceutical companies such as ours. Potential investors should carefully consider the risks and uncertainties that a company with a limited operating history will face. In particular, potential investors should consider that we may be unable to:</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implement or execute our business plan, or that our business plan is sound;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pre-clinical and clinical trials and obtain regulatory approval for the marketing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demonstrate a favorable differentiation between our precision dermatological product candidates and the current products on the market;</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contract for the manufacture of our clinical drug products and establish a commercial drug supply;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secure market exclusivity or adequate intellectual property protection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an experienced management and advisory team; and</w:t>
      </w:r>
    </w:p>
    <w:p>
      <w:pPr>
        <w:spacing w:after="0" w:line="9"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business plan, including product and clinical development, regulatory approval and commercialization for our product candidates.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Investors should evaluate an investment in us in light of the uncertainties encountered by developing companies in a competitive environment. There can be no assurance that our efforts will be successful or that we will ultimately be able to attain profitability. If we cannot successfully execute any one of the foregoing, our business may not succeed and your investment will be adversely affected. You must be prepared to lose all of your investment.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 history of significant operating losses and anticipate continued operating losses for the foreseeable future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fiscal years ended December 31, 2022 and 2021, we incurred a net loss of $10.7 million and $8.9 million, respectively, and $2.5 million and $2.3 million for the three months ended March 31, 2023 and 2022, respectively. As of March 31, 2023, we had an accumulated deficit of $39.8 million. Following completion of this offering, we expect to continue to incur substantial expenses without any meaningful revenues unless and until we are able to obtain regulatory approval and successfully commercialize at least one of our product candidates. We also believe that, at a minimum, it will take us four to six years from the closing of the offering for us to obtain regulatory approval of our first drug candidates, assuming we are able to get regulatory approval at all. Even if we are able to commercialize our product candidates, there can be no assurance that we will generate significant revenues or ever achieve profitability.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We expect to have significant research, regulatory and development expenses as we advance our product candidates towards commercialization. As a result, we expect to incur substantial losses for the foreseeable future, and these losses will be increasing. We are uncertain when or if we will be able to achieve or sustain profitability. If we achieve profitability in the future, we may not be able to sustain profitability in subsequent periods. Failure to become and remain profitable may impair our ability to sustain operations and adversely affect our business and our ability to raise capital. If we are unable to generate positive cash flow within a reasonable period of time, we may be unable to further pursue our business plan or continue operations, in which case you may lose your entire investment.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report of our independent registered public accounting firm for the year ended December 31, 2022 and the three months ended March 31, 2023 states that due to our accumulated deficit, recurring and negative cash flow from operations there is substantial doubt about our ability to continue as a going concern.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expect we will need additional financing to execute our business plan and fund operations, which additional financing may not be available on reasonable terms or at all.</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March 31, 2023, we had total assets of $5.7 million and working capital of $361 thousand. We believe that net proceeds of this offering, along with our cash on hand as of the date of this prospectus, will be sufficient to cover our proposed plan of operations over, at least, the next 12 months, including dosing in the proposed Phase 1b clinical trial for ATR-12 and the initial enrollment in the proposed Phase 1b clinical trial for ATR-04. However, as of the date of this prospectus, we believe that we will need additional capital beyond the next 12 months, and there can be no assurance we will not need additional capital sooner. In addition, we believe that we will need additional capital to obtain marketing approval for ATR-12 and ATR-04, assuming such approval can be obtained at all. We intend to seek additional funds through various financing sources, including the sale of our equity and debt securities,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clinical and commercial utility of our microbial library and genetic engineering platform is uncertain and may never be realized.</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We have built a proprietary platform that includes a microbial library comprised of approximately 1,500 unique bacterial strains that can be screened for unique therapeutic characteristics. The platform is augmented by artificial intelligence, machine learning and genetic engineering technologies. To date, our focus is on the development of genetically engineered strains of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which we consider to be an optimal therapeutic candidate species for engineering of dermatologic therapies. However, we believe that the genetic engineering of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is a novel and unproven mode of therapy. As of the date of this prospectus, we have tested and evaluated our proprietary strains of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in pre-clinical studies and have not conducted any clinical trials designed to evaluate safety, tolerability or efficacy. We currently intend to commence a Phase 1b clinical trial for our ATR-12 in the first half of 2023 and a Phase 1b clinical trial for our ATR-04 product candidate in the first half of 2024. However, success in early clinical trials does not ensure that large-scale clinical trials will be successful, nor does it predict final results. Even after the completion of our proposed Phase 1b clinical trials, our initial product candidates will have only been tested in a small number of patients. Results from these clinical trials may not necessarily be indicative of the safety and tolerability or efficacy of our product candidates or our as we expand into larger clinical trials. Until such time, if ever, as we are able to provide the FDA with substantial clinical evidence to support a claim of safety, efficacy, purity and potency sufficient to enable the FDA to approve our proprietary product candidates for any indication, our proprietary microbial library and genetic engineering platform will remain unproven.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Because our product candidates are in early stages of development, they will require extensive preclinical and clinical testing. ATR-12 and ATR-04 are our only product candidates for which we have conducted meaningful pre-clinical studies. Following this offering we expect to commence a Phase 1b clinical trial for ATR-12 in the first half of 2023 and file an IND for a Phase 1b clinical trial of ATR-04 by the end of 2023. Success in preclinical testing and early-stage clinical trials does not ensure that later clinical trials will generate the same results or otherwise provide adequate data to demonstrate the efficacy and safety of a product candidate. Preclinical studies and Phase 1b clinical trials are primarily designed to test safety, to study pharmacokinetics and pharmacodynamics and to understand the side effects of product candidates at various doses and schedules. Phase 1b clinical trials also test how well a certain disease responds to a new treatment.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we cannot predict with any certainty if or when we might submit a Biologics License Application, or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ongoing COVID-19 pandemic could adversely impact our business, including our clinical trials, supply chain and business development activities.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ongoing COVID-19 pandemic, governments have implemented significant measures, including closures of businesses, quarantines, travel restrictions and other social distancing directives, intended to control the spread of the virus. While the disease and countermeasures have abated to some degree in recent months, the impact of this pandemic will likely continue to be extensive in many aspects of society and will likely continue to result in significant disruptions to the global economy, as well as businesses and capital markets around the world. Many pharmaceutical companies have experienced delays and suspensions of their clinical trials due to the ongoing COVID-19 pandemic,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enrolling and maintaining patients in their clinical trials;</w:t>
      </w:r>
    </w:p>
    <w:p>
      <w:pPr>
        <w:spacing w:after="0" w:line="23"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shipping and delivering in a timely manner supplies, samples or products required for their clinical trials due to the impact of the ongoing COVID-19 pandemic on government and commercial shipping organizations;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left="98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completing any required contracts, successfully completing IRB review in a timely manner, or in recruiting clinical site investigators and clinical site staff;</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supply chains that result in shortages of required raw materials, manufacturing devices, active pharmaceutical ingredients, and finished product for our preclinical research and clinical trials; and</w:t>
      </w:r>
    </w:p>
    <w:p>
      <w:pPr>
        <w:ind w:left="980" w:hanging="324"/>
        <w:spacing w:after="0" w:line="290"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ongoing COVID-19 outbreak which may require us to change the ways in which our clinical trials are conducted, which may result in unexpected costs, or cause us to discontinue the clinical trials altogether.</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our development and commercialization plans and strategies develop, we will need to expand the size of our employee and consultant/contractor base.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commercialize our product candidates and any other future product candidates and our ability to compete effectively will depend, in part, on our ability to effectively manage our future growth.</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 In addition, the loss of the services of our senior management would adversely impact our business prospects</w:t>
      </w:r>
      <w:r>
        <w:rPr>
          <w:rFonts w:ascii="Arial" w:cs="Arial" w:eastAsia="Arial" w:hAnsi="Arial"/>
          <w:sz w:val="16"/>
          <w:szCs w:val="16"/>
          <w:color w:val="auto"/>
        </w:rPr>
        <w:t>. Our management team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in many different aspects of drug development and commercialization. However, our ability to compete in the highly competitive pharmaceuticals industry depends in large part upon our ability to attract and retain highly qualified managerial, scientific and medical personnel. We will need to hire additional personnel as we further develop our product candidates. Competition for skilled personnel in our market is intense and competition for experienced scientists may limit our ability to hire and retain highly qualified personnel on acceptable terms. Despite our efforts to retain valuable employees, members of our management, scientific and medical teams may terminate their employment with us on short notice. The loss of the services of any of our executive officers or other key employees, or our inability to hire targeted executives, could potentially harm our business, operating results or financial condition. In particular, we believe that the loss of the services of our chief executive officer would have a material adverse effect on our business.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biopharmaceutical companies with which we compete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develop and commercialize product candidates would be limited.</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We currently have no sales and marketing organization. If we are unable to establish satisfactory sales and marketing capabilities or secure a third-party sales and marketing relationship, we may not be able to successfully commercialize any of our product candidates</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present, we have no sales or marketing personnel. Upon and subject to initial receipt of the requisite regulatory approvals for one or more of our drug products,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with a targeted sales team. In other markets for which commercialization may be less capital efficient for us, we may selectively pursue strategic collaborations with third parties in order to maximize the commercial potential of our product candidates. In some cases, we may pursue the licensing of our microbial library or patent rights or enter into a joint development arrangement. If we are not successful in recruiting sales and marketing personnel and building a sales and marketing infrastructure or entering into appropriate collaboration arrangements with third parties, we will have difficulty successfully commercializing our product candidates, which would adversely affect our business, operating results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spacing w:after="0" w:line="18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any of our product candidates;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internal sales and marketing organization.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We will be completely dependent for the foreseeable future on third parties to manufacture our product candidates for commercial sale, and the commercialization of our product candidates could be halted, delayed or made less profitable if those third parties fail to obtain manufacturing approval from the FDA or comparable foreign regulatory authorities, fail to provide us with sufficient quantities of our product candidates or fail to do so at acceptable quality levels or prices</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own or operate manufacturing facilities for the commercial production of our current product candidates. We currently rely on third-party contract manufacturers for all of our required raw materials, manufacturing devices, and active pharmaceutical ingredients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 In the meantime, we will be obligated to rely on contract manufacturers for our preclinical research and clinical trials and commercial production, if and when any of our product candidates are approved for commercialization.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facilities used by us or any contract manufacturer to manufacture our raw materials, manufacturing devices, active pharmaceutical ingredients and finished products must be approved by the FDA or comparable foreign regulatory authorities. Such approvals are subject to inspections that will be conducted after we submit a BLA to the FDA or their equivalents to other relevant regulatory authorities. Until such time, if ever, as we establish our own manufacturing facilities, we will not control the manufacturing process of our product candidates, and will be completely dependent on our contract manufacturing partners for compliance with Current Good Manufacturing Practices, or cGMPs, for manufacture of our raw materials, manufacturing devices, active pharmaceutical ingredients and finished products. These cGMP regulations cover all aspects of the manufacturing, testing, quality control, storage, distribution and record keeping relating to our product candidates. If our contract manufacturers do not successfully manufacture material that conforms to our specifications and the strict regulatory requirements of the FDA or others, we will not be able to secure or maintain regulatory approval for product made at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could significantly delay our clinical trials and impact our ability to develop, manufacture, obtain regulatory approval for or market our product candidates, if approved. Likewise, we could be negatively impacted if any of our contract manufacturers elect to discontinue their business relationship with 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648"/>
        <w:spacing w:after="0" w:line="271" w:lineRule="auto"/>
        <w:rPr>
          <w:sz w:val="20"/>
          <w:szCs w:val="20"/>
          <w:color w:val="auto"/>
        </w:rPr>
      </w:pPr>
      <w:r>
        <w:rPr>
          <w:rFonts w:ascii="Arial" w:cs="Arial" w:eastAsia="Arial" w:hAnsi="Arial"/>
          <w:sz w:val="17"/>
          <w:szCs w:val="17"/>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product candidates, delays, suspensions or withdrawals of approvals, inability to supply product,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manufacture, obtain regulatory approval for or market any of our product candidates, if approved.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for any reason, these third parties are unable or unwilling to perform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required raw materials, manufacturing devices, active pharmaceutical ingredients or finished product or should cease doing business with us for any reason, we could experience significant delays in our clinical trials and significant interruptions in the supply of any of our product candidates or may not be able to create a supply of our product candidates at all.</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manufacturing problem or the loss of a contract manufacturer could be disruptive to our operations and result in development and clinical trial delays and lost sales. Additionally, we will rely on third parties to supply the raw materials needed to manufacture our product candidates. Any such reliance on suppliers may involve several risks, including a potential inability to obtain critical materials and reduced control over production costs, delivery schedules, reliability and quality. Any unanticipated disruption to the operation of one of our contract manufacturers caused by problems with suppliers could delay our shipment of any of our product candidates, increase our cost of goods sold and result in delays in clinical trials or lost sales.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Our business model includes the potential out-licensing of strains from our proprietary microbial library or our product candidates to other biopharmaceutical companies, however technology licensing in the biopharmaceutical industry is a lengthy process and subject to several risks and factors outside of our control, and we cannot forecast our ability to successfully out-license our technology or the length of time it takes to establish a new licensing relationship.</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model includes the potential out-licensing or joint development of strains from our proprietary microbial library or our product candidates to other biopharmaceutical companies. Any such arrangement would typically begin with preliminary feasibility testing and evaluation by our potential partner or licensee. Assuming the feasibility testing is successful, our ability to convert the successful test into a commercial license or joint development agreement is dependent on a number of risks and factors, many of which are outside our control, including:</w:t>
      </w:r>
    </w:p>
    <w:p>
      <w:pPr>
        <w:spacing w:after="0" w:line="17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adoption and incorporation of new technologies, by members of the pharmaceutical industry generally;</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potential licensee’s internal evaluation of the economic benefits of marketing a dermatological product that may be competitive with other products currently in development or commercial sale by our potential partner or licensee regardless of the perceived benefits or advantages of our technology or product;</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potential partner’s/licensee’s internal budgetary and product development issues, including their ability to commit the capital and human resources towards the development and commercialization of our technology or product;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potential partner’s/licensee’s willingness to accept our requirements for upfront fees and ongoing royalties.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648"/>
        <w:spacing w:after="0" w:line="257" w:lineRule="auto"/>
        <w:rPr>
          <w:sz w:val="20"/>
          <w:szCs w:val="20"/>
          <w:color w:val="auto"/>
        </w:rPr>
      </w:pPr>
      <w:r>
        <w:rPr>
          <w:rFonts w:ascii="Arial" w:cs="Arial" w:eastAsia="Arial" w:hAnsi="Arial"/>
          <w:sz w:val="18"/>
          <w:szCs w:val="18"/>
          <w:color w:val="auto"/>
        </w:rPr>
        <w:t>In addition, we believe that in many cases our potential partners or licensee may engage with us in the early-stage feasibility testing as part of their evaluation of multiple drug and drug delivery options and prior to making any decision or commitment to the development of a new drug product. Consequently, even if our platform is successful in early feasibility studies, our potential partner/licensee may decide, for reasons unrelated to the performance of our technology, not to enter into a license agreement with us. Therefore, we are unable to predict the degree to which our proposed licensing model will be successful.</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will face a potential risk of product liability as a result of the clinical testing of our product candidates and will face an even greater risk of such liability if we commercialize any of our product candidates. For example, we may be sued if any product we develop, including any of our product candidates, or any materials that we use in our product candidates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In the U.S., claims could also be asserted against us under state consumer protection acts. If we cannot successfully defend ourselves against product liability claims, we may incur substantial liabilities or be required to limit commercialization of our product candidates. Even successful defense of these claims would require us to employ significant financial and management resources. Regardless of the merits or eventual outcome, liability claims may result in:</w:t>
      </w:r>
    </w:p>
    <w:p>
      <w:pPr>
        <w:spacing w:after="0" w:line="17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any of our product candidates or any future products that we may develop;</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obtain regulatory approval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participants in our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our defense of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our management’s time and our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some or all of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value of our stock.</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the date of this prospectus, we carry product liability insurance that we consider adequate for our current level of clinical testing and development. However, we will need additional product liability coverage at the time we commence commercial sale of our initial product. Our inability to obtain and retain sufficient product liability insurance at an acceptable cost to protect against potential product liability claims could prevent or inhibit the commercialization of products we develop.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would also have various exclusions, and we may be subject to a product liability claim for which we have no coverage. As a result, we may have to pay any amounts awarded by a court or negotiated in a settlement that exceed our coverage limitations or that are not covered by our insurance, and we may not have, or be able to obtain, sufficient capital to pay such amounts.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operations could suffer in the event of information technology systems’ failures or security breaches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While we believe that we have implemented adequate security measures within our internal information technology and networking systems, our information technology systems may be subject to security breaches, damages from computer viruses, natural disasters, terrorism, and telecommunication failures. Any system failure or security breach could cause interruptions in our operations in addition to the possibility of losing proprietary information and trade secrets. To the extent that any disruption or security breach results in inappropriate disclosure of our confidential information, our competitive position may be adversely affected and we may incur liability or additional costs to remedy the damages caused by these disruptions or security breaches.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dermatological therapies market is highly competitive and led by significant technologic developments. We anticipate that, if we are successful in obtaining regulatory approval of our candidates, we will face significant competition from other approved therapies or drugs that will become available in our industry. Even if another branded, generic, or OTC product is less effective, it may be quickly adopted by physicians and patients than our product based upon cost or convenience.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Product Regulation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permitted to market our product candidates as prescription pharmaceutical products in the United States until we receive approval of a BLA from the FDA, or in any foreign countries until we receive the requisite approval from such countries. In the United States, the FDA generally requires the completion of clinical trials of each biologic to establish its safety and efficacy and extensive pharmaceutical development to ensure its quality before a BLA is approved. Of the large number of biologics in development, only a small percentage result in the submission of a BLA to the FDA and even fewer are eventually approved for commercialization. As of the date of this prospectus, we have not submitted a BLA to the FDA or comparable applications to other regulatory authorities for any of our product candidates.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our receipt of the regulatory approvals described above,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authorities may disagree with the number, design, size, conduct or implementation of our clinical trials or any of our collaborators’ clinical trials;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 or the use of results from studies that served as precursors to our current or future product candidates;</w:t>
      </w: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Investigational New Drug Application, or IND, or a BLA for our product candidates;</w:t>
      </w: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IRBs, may disagree with the design or implementation of our clinical trials;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product candidates’ safety and efficacy;</w:t>
      </w:r>
    </w:p>
    <w:p>
      <w:pPr>
        <w:spacing w:after="0" w:line="9" w:lineRule="exact"/>
        <w:rPr>
          <w:rFonts w:ascii="Arial" w:cs="Arial" w:eastAsia="Arial" w:hAnsi="Arial"/>
          <w:sz w:val="18"/>
          <w:szCs w:val="18"/>
          <w:color w:val="auto"/>
        </w:rPr>
      </w:pPr>
    </w:p>
    <w:p>
      <w:pPr>
        <w:ind w:left="980" w:hanging="324"/>
        <w:spacing w:after="0" w:line="28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results of our clinical trials may not be satisfactory or may not meet the level of statistical or clinical significance required by the FDA, European Medicines Agency, or EMA, or other regulatory agencies for us to receive marketing approval for any of our product candidates;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dosing of our product candidates in a particular clinical trial may not be at an optimal level;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 BLA or other submission or to obtain regulatory approval in the United States or elsewhere;</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or REMS, as a condition of approval;</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ind w:left="980" w:hanging="324"/>
        <w:spacing w:after="0" w:line="26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of our product candidates.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approval for our product candidates for the foregoing, or any other reasons, will prevent us from commercializing our product candidates, and our ability to generate revenue will be materially impaired.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2022, the U.S. Congress enacted a new law, the Modernization of Cosmetics Regulation Act of 2022, or MOCRA. MOCRA will require a cosmetic manufacturer or importer to: ensure that it has on hand substantiation of the safety of its products and ingredients; meet increased registration, record-keeping and reporting requirements; include fragrance and allergen information on its labeling; and be prepared to meet FDA’s to be promulgated good manufacturing practices requirements. These additional requirements may impact budgets and timelines.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or any future product candidates, which would prevent or delay or limit the scope of regulatory approval and commercialization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business model depends entirely on the successful development, regulatory approval and commercialization of our product candidates, which may never occur. Our product candidates are in the early stages of development and as of the date of this prospectus we have not progressed any of our product candidates beyond performance characterization, animal testing and limited in-human testing of ATR-04 as a consumer health product. In December 2022, we submitted an IND for a Phase 1b clinical trial for our ATR-12, which is the means by which drug companies obtain approval to initiate clinical trials in humans in the United States, and on January 27, 2023 we received notification from the FDA that the “study may proceed” with respect to the proposed clinical trial. Other than ATR-12, we do not have an active IND with the FDA, nor an application to any comparable foreign regulatory authority, for any other of our product candidates. As of the date of this prospectus, we plan on submitting our IND for ATR-04 by the end of 2023; however, there can be no assurance we will be able to submit the IND in such timeframe. We may not be successful in obtaining approval from the FDA or comparable foreign regulatory authorities to start clinical trials for any of our product candidates. If we do not obtain such approvals as presently planned, the time in which we expect to commence clinical programs for any product candidate will be extended and such extension will increase our expenses, delay our potential receipt of any revenues and increase our need for additional capital. Moreover, there is no guarantee that we will receive approval to commence human clinical trials or, if we do receive approval, that our clinical trials will be successful or that we will continue clinical development in support of an approval from the FDA or comparable foreign regulatory authorities for any indication. We note that most product candidates never reach the clinical development stage and even those that do commence clinical development have only a small chance of successfully completing clinical development and gaining regulatory approval.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product candidates. Therefore, our business currently depends entirely on the successful development, regulatory approval and commercialization of our product candidates, which may never occur.</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Results of preclinical studies of our product candidates may not be predictive of the results of future preclinical studies or clinical trials.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studies and clinical trials that our product candidates are safe, pure, and potent in humans. Before an IND can be submitted to the FDA and become effective, which is a prerequisite for conducting clinical trials on human subjects in the United States, a product candidate must successfully progress through extensive preclinical studies, which include preclinical laboratory testing, animal studies, and formulation studies in accordance with Good Laboratory Practices. Success in preclinical studies does not ensure that later preclinical studies or clinical trials will be successful. A number of companies in the biotechnology and 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Further, we or our investigators may have little control over whether subjects comply with important aspects of clinical trial protocols In addition, preclinical and clinical data are often susceptible to varying interpretations and analyses. Notwithstanding any potential promising results in earlier studies, we cannot be certain that we will not face similar setbacks. In addition, the results of our preclinical animal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648"/>
        <w:spacing w:after="0" w:line="263" w:lineRule="auto"/>
        <w:rPr>
          <w:sz w:val="20"/>
          <w:szCs w:val="20"/>
          <w:color w:val="auto"/>
        </w:rPr>
      </w:pPr>
      <w:r>
        <w:rPr>
          <w:rFonts w:ascii="Arial" w:cs="Arial" w:eastAsia="Arial" w:hAnsi="Arial"/>
          <w:sz w:val="18"/>
          <w:szCs w:val="18"/>
          <w:color w:val="auto"/>
        </w:rPr>
        <w:t>If we fail to receive positive results in preclinical studies or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84"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Any termination or suspension of, or delays in the commencement or completion of, any necessary studies of any of our product candidates for any indications could result in increased costs to us, delay or limit our ability to generate revenue and adversely affect our commercial prospects</w:t>
      </w:r>
      <w:r>
        <w:rPr>
          <w:rFonts w:ascii="Arial" w:cs="Arial" w:eastAsia="Arial" w:hAnsi="Arial"/>
          <w:sz w:val="15"/>
          <w:szCs w:val="15"/>
          <w:color w:val="auto"/>
        </w:rPr>
        <w: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enrolled in our trials at the rate we expect;</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facility manufacturing any of our product candidates being ordered by the FDA or other government or regulatory authorities to temporarily or permanently shut down due to violations of cGMP requirements or other applicable requirements, or cross-contaminations of product candidates in the manufacturing process;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product candidates, or participating in competing clinical studies;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or more IRBs refusing to approve, suspending or terminating the study at an investigational site, precluding enrollment of additional subjects, or withdrawing its approval of the trial; 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648"/>
        <w:spacing w:after="0" w:line="287" w:lineRule="auto"/>
        <w:rPr>
          <w:sz w:val="20"/>
          <w:szCs w:val="20"/>
          <w:color w:val="auto"/>
        </w:rPr>
      </w:pPr>
      <w:r>
        <w:rPr>
          <w:rFonts w:ascii="Arial" w:cs="Arial" w:eastAsia="Arial" w:hAnsi="Arial"/>
          <w:sz w:val="16"/>
          <w:szCs w:val="16"/>
          <w:color w:val="auto"/>
        </w:rPr>
        <w:t>Product development costs for any of our product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product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product candidates. In addition, if one or more clinical studies are delayed, our competitors may be able to bring competing products to market before we do, and the commercial viability of any of our affected product candidates could be significantly reduced.</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approved for marketing, the commercial success of our product candidates will depend upon each product’s acceptance by the medical community, including physicians, patients and health care payors. The degree of market acceptance for any of our product candidates will depend on a number of factors, including:</w:t>
      </w:r>
    </w:p>
    <w:p>
      <w:pPr>
        <w:spacing w:after="0" w:line="18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physicians to prescribe our product candidates, and the target patient population to try new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efficacy of our product candidates compared to competing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product candidates may be approved;</w:t>
      </w: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product candidates may show utility;</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inclusion or omission of our product candidates in applicable therapeutic and vaccine guidelines;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willingness of patients to pay out-of-pocket in the absence of third-party coverage or reimbursement or government pricing approvals.</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product candidates may require significant resources and may never be successful.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firstLine="648"/>
        <w:spacing w:after="0" w:line="253" w:lineRule="auto"/>
        <w:rPr>
          <w:sz w:val="20"/>
          <w:szCs w:val="20"/>
          <w:color w:val="auto"/>
        </w:rPr>
      </w:pPr>
      <w:r>
        <w:rPr>
          <w:rFonts w:ascii="Arial" w:cs="Arial" w:eastAsia="Arial" w:hAnsi="Arial"/>
          <w:sz w:val="18"/>
          <w:szCs w:val="18"/>
          <w:color w:val="auto"/>
        </w:rPr>
        <w:t>In addition, even if we obtain regulatory approvals, the timing or scope of any approvals may prohibit or reduce our ability to commercialize our product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product candidates not commercially viable. For example, regulatory authorities may approve any of our product candidates for fewer or more limited indications than we request, may not approve the price we intend to charge for any of our product candidates, may grant approval contingent on the performance of costly post-marketing clinical trials, or may approve any of our product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or REMS, to assure the safe use of the drug. Moreover, product approvals may be withdrawn for non-compliance with regulatory standards or if problems occur following the initial marketing of the product. Any of the foregoing scenarios could materially harm the commercial success of our product candidates.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product candidates, we will be subject to ongoing obligations and continued regulatory review, which may result in significant additional expense. Additionally, our product candidates could be subject to labeling and other restrictions and withdrawal from the market and we may be subject to penalties if we fail to comply with regulatory requirements or if we experience unanticipated problems with our product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product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product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related to our product candidates,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product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product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If we or a regulatory agency discover previously unknown problems with a product candidate,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4" w:lineRule="exact"/>
        <w:rPr>
          <w:sz w:val="20"/>
          <w:szCs w:val="20"/>
          <w:color w:val="auto"/>
        </w:rPr>
      </w:pPr>
    </w:p>
    <w:p>
      <w:pPr>
        <w:ind w:left="980" w:hanging="324"/>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 Adverse regulatory action, whether pre- or post-approval, can also potentially lead to product liability claims and increase our product liability exposure.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 or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though we may apply for orphan drug designation for a product candidate, we may not be able to obtain orphan drug marketing exclusivity.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in some cases our products candidates may qualify for the FDA’s orphan drug status. There is no guarantee that the FDA will grant any future application for orphan drug designation for any of our product candidates, which would make us ineligible for the additional exclusivity and other benefits of orphan drug designation.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United States for this type of disease or condition will be recovered from sales of the product. Orphan drug designation must be requested before submitting an BLA.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product candidates in the indications for which we think they might qualify, if we elect to seek such applications.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our product candidates, restrict or regulate post-approval activities and affect our ability to profitably sell our product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product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or, collectively, the ACA,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ACA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2011, the U.S. Congress enacted the Budget Control Act of 2011, or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2027 absent additional congressional action.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September 24, 2020, the FDA released a final rule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August 16, 2022, Congress enacted the Inflation Reduction Act of 2022 which contains several provisions relating to prescription drug costs, including requirements for federal government price negotiations, rebate requirements, and caps on out-of-pocket spending for Medicare Part D enrollees.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firstLine="648"/>
        <w:spacing w:after="0" w:line="285" w:lineRule="auto"/>
        <w:rPr>
          <w:sz w:val="20"/>
          <w:szCs w:val="20"/>
          <w:color w:val="auto"/>
        </w:rPr>
      </w:pPr>
      <w:r>
        <w:rPr>
          <w:rFonts w:ascii="Arial" w:cs="Arial" w:eastAsia="Arial" w:hAnsi="Arial"/>
          <w:sz w:val="16"/>
          <w:szCs w:val="16"/>
          <w:color w:val="auto"/>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Third-party coverage and reimbursement and health care cost containment initiatives and treatment guidelines may constrain our future revenues.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ability to successfully market our product candidates will depend in part on the level of reimbursement that government health administration authorities, private health coverage insurers and other organizations provide for the cost of our product candidates and related treatments. Countries in which any of our product candidates are sold through reimbursement schemes under national health insurance programs frequently require that manufacturers and sellers of pharmaceutical products obtain governmental approval of initial prices and any subsequent price increases. In certain countries, including the United States, government-funded and private medical care plans can exert significant indirect pressure on prices. We may not be able to sell our product candidates profitably if adequate prices are not approved or coverage and reimbursement is unavailable or limited in scope. Increasingly, third-party payors attempt to contain health care costs in ways that are likely to impact our development of products including:</w:t>
      </w:r>
    </w:p>
    <w:p>
      <w:pPr>
        <w:spacing w:after="0" w:line="16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failing to approve or challenging the prices charged for health care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introducing reimportation schemes from lower priced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both coverage and the amount of reimbursement for new therapeutic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denying or limiting coverage for products that are approved by the regulatory agencies but are considered to be experimental or investigational by third-party payors; and</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refusing to provide coverage when an approved product is used in a way that has not received regulatory marketing approval.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88" w:lineRule="exact"/>
        <w:rPr>
          <w:sz w:val="20"/>
          <w:szCs w:val="20"/>
          <w:color w:val="auto"/>
        </w:rPr>
      </w:pPr>
    </w:p>
    <w:p>
      <w:pPr>
        <w:jc w:val="both"/>
        <w:ind w:left="980" w:hanging="324"/>
        <w:spacing w:after="0" w:line="267"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4" w:lineRule="exact"/>
        <w:rPr>
          <w:rFonts w:ascii="Arial" w:cs="Arial" w:eastAsia="Arial" w:hAnsi="Arial"/>
          <w:sz w:val="17"/>
          <w:szCs w:val="17"/>
          <w:color w:val="auto"/>
        </w:rPr>
      </w:pPr>
    </w:p>
    <w:p>
      <w:pPr>
        <w:jc w:val="both"/>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jc w:val="both"/>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All such reported information is publicly available;</w:t>
      </w:r>
    </w:p>
    <w:p>
      <w:pPr>
        <w:spacing w:after="0" w:line="1" w:lineRule="exact"/>
        <w:rPr>
          <w:rFonts w:ascii="Arial" w:cs="Arial" w:eastAsia="Arial" w:hAnsi="Arial"/>
          <w:sz w:val="18"/>
          <w:szCs w:val="18"/>
          <w:color w:val="auto"/>
        </w:rPr>
      </w:pPr>
    </w:p>
    <w:p>
      <w:pPr>
        <w:jc w:val="both"/>
        <w:ind w:left="980" w:hanging="324"/>
        <w:spacing w:after="0" w:line="265"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 by CMS and enforcement by the HHS Office of Inspector General or the U.S. Department of Justice.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ind w:firstLine="648"/>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Intellectual Property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 is difficult and costly to protect our intellectual property rights, and we cannot ensure the protection of these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commercial success will depend, in part, on our ability to prosecute and defend, if necessary, our patent rights against third-party challenges and successfully enforcing these patent rights against third party competitors. The patent positions of pharmaceutical companies can be highly uncertain and involve complex legal, scientific and factual questions for which important legal principles remain unresolved. Changes in either the patent laws or in interpretations of patent laws may diminish the value of our intellectual property. Accordingly, we cannot predict the breadth of claims that may be allowable or enforceable in any patent applications filed by us or our licensors of patent rights. The patents and patent applications held by or licensed to us relating to our microbial platform and related technologies may be challenged, invalidated or circumvented by third parties and might not protect us against competitors with similar products or technologies.</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degree of future protection afforded by the patent rights held by or licensed to us is uncertain, because legal means afford only limited protection and may not adequately protect our rights, permit us to gain or keep our competitive advantage, or provide us with any competitive advantage at all. We cannot be certain that any patent application owned by a third party will not have priority over patent applications filed by us or in which we hold license rights or that we will not be involved in interference, opposition or invalidity proceedings before United States or foreign patent offices.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Additionally, if we were to initiate legal proceedings against a third party to enforce a patent covering any of our product candidates, the defendant could counterclaim that such patent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United States Patent and Trademark Office, or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patents held by or licensed to us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any licensor of our patent rights or the patent examiner were unaware during prosecution. If a defendant were to prevail on a legal assertion of invalidity and/or unenforceability, we would lose at least part, and perhaps all, of the patent protection on any of our product candidates. Such a loss of patent protection would have a material adverse impact on our business.</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rely on know-how and trade secrets to protect technology, especially in cases where we believe patent protection is not appropriate or obtainable. However, know-how and trade secrets are difficult to protect. While we require employees, academic collaborators, consultants and other contractors to enter into confidentiality agreements, we may not be able to adequately protect our trade secrets or other proprietary or licensed information. Typically, research collaborators and scientific advisors have rights to publish data and information in which we may have rights. Enforcing a claim that a third party illegally obtained and is using any of our trade secrets is expensive and time consuming, and the outcome is unpredictable. In addition, courts are sometimes less willing to protect trade secrets than patents. Moreover, our competitors may independently develop equivalent knowledge, methods and know-how.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firstLine="648"/>
        <w:spacing w:after="0" w:line="263" w:lineRule="auto"/>
        <w:rPr>
          <w:sz w:val="20"/>
          <w:szCs w:val="20"/>
          <w:color w:val="auto"/>
        </w:rPr>
      </w:pPr>
      <w:r>
        <w:rPr>
          <w:rFonts w:ascii="Arial" w:cs="Arial" w:eastAsia="Arial" w:hAnsi="Arial"/>
          <w:sz w:val="18"/>
          <w:szCs w:val="18"/>
          <w:color w:val="auto"/>
        </w:rPr>
        <w:t>If we fail to obtain or maintain patent protection or trade secret protection for our product candidates or our technologies, third parties could use our proprietary information, which could impair our ability to compete in the market and adversely affect our ability to generate revenues and attain profitability.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product candidates may infringe the intellectual property rights of others, which could increase our costs and delay or prevent our development and commercialization efforts.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success depends in part on avoiding infringement of the proprietary technologies of others. The pharmaceutical industry has been characterized by frequent litigation regarding patent and other intellectual property rights. Identification of third-party patent rights that may be relevant to our proprietary technology is difficult because patent searching is imperfect due to differences in terminology among patents, incomplete databases and the difficulty in assessing the meaning of patent claims. Additionally, because patent applications are maintained in secrecy until the application is published, we may be unaware of third-party patents that may be infringed by commercialization of any of our product candidates or any future product candidate. There may be certain issued patents and patent applications claiming subject matter that we may be required to license in order to research, develop or commercialize any of our product candidates, and we do not know if such patents and patent applications would be available to license on commercially reasonable terms, or at all. Any claims of patent infringement asserted by third parties would be time-consuming and may:</w:t>
      </w:r>
    </w:p>
    <w:p>
      <w:pPr>
        <w:spacing w:after="0" w:line="16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prevent us from commercializing a product until the asserted patent expires or is held finally invalid or not infringed in a court of law;</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cease or modify our use of the technology and/or develop non-infringing technology;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Third parties may hold proprietary rights that could prevent any of our product candidates from being marketed. Any patent-related legal action against us claiming damages and seeking to enjoin commercial activities relating to any of our product candidates or our processes could subject us to potential liability for damages and require us to obtain a license to continue to manufacture or market any of our product candidates or any future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candidates or any future product candidates or processes to avoid infringement, if necessary. Accordingly, an adverse determination in a judicial or administrative proceeding, or the failure to obtain necessary licenses, could prevent us from developing and commercializing any of our product candidates or a future product candidate, which could harm our business, financial condition and operating results.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that there are other companies, including major biopharmaceutical companies, working in the areas competitive to our proposed product candidates which either has resulted, or may result, in the filing of patent applications that may be deemed related to our activities. If we were to challenge the validity of these or any issued United States patent in court, we would need to overcome a statutory presumption of validity that attaches to every issued United States patent. This means that, in order to prevail, we would have to present clear and convincing evidence as to the invalidity of the patent’s claims. If we were to challenge the validity of these or any issued United States patent in an administrative trial before the Patent Trial and Appeal Board in the USPTO, we would have to prove that the claims are unpatentable by a preponderance of the evidence. There is no assurance that a jury and/or court would find in our favor on questions of infringement, validity or enforceability. Even if we are successful, litigation could result in substantial costs and be a distraction to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commonplace in our industry, we will employ individuals who were previously employed at other biopharmaceutical companies, including our competitors or potential competitors. Although no claims against us are currently pending, we may be subject in the future to claims that our employees or prospective employees are subject to a continuing obligation to their former employers (such as non-competition or non-solicitation obligations) or claims that our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this Offering and Owning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shares may not develop, which may inhibit the ability of our stockholders to sell shares following this offering</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offering under this prospectus is an initial public offering of our common shares. Prior to this offering there has been no public market for our shares. Upon completion of this offering, our common stock will commence trading on the NYSE American under the symbol “AZTR.” However, an active, liquid or orderly trading market in our shares may not develop upon completion of this offering, or if it does develop, it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by selling shares and may impair our ability to acquire other companies by using our shares as consideration.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NYSE American could result in a delisting of our common stock.</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after listing, we fail to satisfy the continued listing requirements of the NYSE American, such as the corporate governance requirements or the minimum closing bid price requirement, the NYSE American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NYSE American’s minimum bid price requirement or prevent future non-compliance with the NYSE American’s listing requirements.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capital raises may dilute your ownership and/or have other adverse effects on our operations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raise additional 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additional funds through collaborations and licensing arrangements, we may be required to relinquish some rights to our intellectual property or candidate products, or to grant licenses on terms that are not favorable to 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market price of our shares may be subject to fluctuation and volatility. You could lose all or part of your investment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initial public offering price for the shares will be determined by negotiations between us and the representative of the underwriters and may not be indicative of prices that will prevail in the trading market. The price of our shares may decline following this offering. The stock market in general, and early-stage public companies in particular, has experienced extreme price and volume fluctuations that have often been unrelated or disproportionate to the operating performance of such companies. These broad market factors may seriously harm the market price of our common stock, regardless of our actual or expected operating performance and financial condition or prospects, which may make it difficult for investors to assess the rapidly changing value of our common stock. In the past, following periods of volatility in the market price of a company’s securities, securities class action litigation has often been instituted. A class action suit against us could result in significant liabilities and, regardless of the outcome, could result in substantial costs and the diversion of our management’s resources and attention The market price of our shares on the NYSE American may fluctuate as a result of a number of factors, some of which are beyond our control, including, but not limited to:</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shares are covered by analysts;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the results of preclinical or clinical trials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between our expenditures to develop and market new or enhanced products and the generation of sales from those products;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including our involvement in litigation brought by or against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stockholders, of our shares or other securities in the future;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trading volume of our shares;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including factors unrelated to our operating performance.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factors and any corresponding price fluctuations may materially and adversely affect the market price of our shares and result in substantial losses being incurred by our investors. In the past, following periods of market volatility, public company stockholders have often instituted securities class action litigation. If we were involved in securities litigation, it could impose a substantial cost upon us and divert the resources and attention of our management from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cannot be certain if the reduced disclosure requirements applicable to emerging growth companies will make our common stock less attractive to investors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and</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extended transition periods available for complying with new or revised accounting standards.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ind w:firstLine="648"/>
        <w:spacing w:after="0" w:line="286" w:lineRule="auto"/>
        <w:rPr>
          <w:sz w:val="20"/>
          <w:szCs w:val="20"/>
          <w:color w:val="auto"/>
        </w:rPr>
      </w:pPr>
      <w:r>
        <w:rPr>
          <w:rFonts w:ascii="Arial" w:cs="Arial" w:eastAsia="Arial" w:hAnsi="Arial"/>
          <w:sz w:val="17"/>
          <w:szCs w:val="17"/>
          <w:color w:val="auto"/>
        </w:rPr>
        <w:t>We have chosen to take advantage of all of the benefits available under the JOBS Act, including the exemptions discussed above.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remain an “emerging growth company” for up to five years, although we will lose that status sooner if our revenues exceed $1.07 billion, if we issue more than $1 billion in non-convertible debt in a three-year period, or if the market value of our common stock that is held by non-affiliates exceeds $700 million as of June 30 in any future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status as an “emerging growth company” under the JOBS Act may make it more difficult to raise capital as and when we need it</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not paid dividends on our common stock in the past and have no immediate plans to pay such dividends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plan to reinvest all of our earnings, to the extent we have earnings, to cover operating costs and otherwise become and remain competitive. We do not plan to pay any cash dividends with respect to our common stock in the foreseeable future. We cannot assure you that we would, at any time, generate sufficient surplus cash that would be available for distribution to the holders of our common stock as a dividend. Therefore, you should not expect to receive cash dividends on the common stock we are offering.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shares, the price of our shares could decline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market for our shares will rely in part on the research and reports that equity research analysts publish about us and our business, if at all. We do not have control over these analysts and we do not have commitments from them to write research reports about us. The price of our shares could decline if no research reports are published about us or our business, or if one or more equity research analysts downgrades our shares or if those analysts issue other unfavorable commentary or cease publishing reports about us or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Assuming a market for our common stock develops, shares eligible for future sale may adversely affect the market for our common stock</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of our common shares outstanding prior to this offering, including the common shares issuable upon conversion of our convertible preferred stock and convertible promissory notes, are subject to lock-up agreements whereby the holder has agreed not to sell, transfer or pledge, or offering to do any of the same, directly or indirectly, any of our securities for a period of 180 days following the close of this offering, except in the case of our officers and directors who have agreed not to sell for one year following the close of this offering. Subject to the lock-up agreements, we have granted demand and piggyback registration rights to the holders of our convertible preferred stock and convertible promissory notes pursuant to which they may request the registration for resale of up to 9,542,519 shares of common stock commencing 180 days following the close of this offering. Furthermore, commencing on the 90th day following the close of this offering, our stockholders may be eligible to sell all or some of their shares of common stock by means of ordinary brokerage transactions in the open market pursuant to Rule 144, promulgated under the Securities Act, subject to certain limitations under Rule 144 and the lock-up agreements. In general, pursuant to Rule 144, non-affiliate stockholders may sell freely after six months subject only to the current public information requirement (which disappears after one year).</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substantial sale of our common stock pursuant to Rule 144 or pursuant to any resale prospectus (including sales by investors of securities acquired in connection with this offering) may have a material adverse effect on the market price of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the price per share of our common stock being offered is substantially higher than the book value per share of our common stock, you will experience substantial dilution in the net tangible book value of the common stock you purchase in this offering. Based on the initial public offering price of $5.00 per share (which is the midpoint of the price range set forth on the cover page of this prospectus), if you purchase shares of common stock in this offering, you will experience immediate and substantial dilution of $4.28 per share in the net tangible book value of the common stock at March 31, 2023.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We maintain director and officer insurance that we regard as reasonably adequate to protect us from potential claims; however, we are responsible for meeting certain deductibles under the policies and, in any event, we cannot assure you that the insurance coverage will adequately protect us from claims made. Further, the costs of insurance may increase and the availability of coverage may decrease. As a result, we may not be able to maintain our current levels of insurance at a reasonable cost, or at all.</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these proceeds effectively, which could affect our results of operations and cause our stock price to decline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may invest or spend these proceeds in ways with which you do not agree and in ways that may not yield a return on your investment. Our management will have considerable discretion in the application of the net proceeds of this offering, including for any purpose described in the section of this prospectus entitled </w:t>
      </w:r>
      <w:r>
        <w:rPr>
          <w:rFonts w:ascii="Arial" w:cs="Arial" w:eastAsia="Arial" w:hAnsi="Arial"/>
          <w:sz w:val="17"/>
          <w:szCs w:val="17"/>
          <w:i w:val="1"/>
          <w:iCs w:val="1"/>
          <w:color w:val="auto"/>
        </w:rPr>
        <w:t>“Use of Proceeds”.</w:t>
      </w:r>
      <w:r>
        <w:rPr>
          <w:rFonts w:ascii="Arial" w:cs="Arial" w:eastAsia="Arial" w:hAnsi="Arial"/>
          <w:sz w:val="17"/>
          <w:szCs w:val="17"/>
          <w:color w:val="auto"/>
        </w:rPr>
        <w:t xml:space="preserve"> However, our needs may change as our business and industry evolve and, as a result, the proceeds we receive from this offering may be used in a manner substantially different from our current expectations. We may use the net proceeds for purposes that do not yield a significant return or any return at all for our stockholders. In addition, pending their use, we may invest the net proceeds from this offering in a manner that does not produce income or that loses value. The failure by our management to apply these funds effectively could result in financial losses that could harm our business, cause the price of our common stock to decline and delay the development of our product candidates. You will not have the opportunity as part of your investment decision to assess whether the net proceeds are being used appropriately and, as a result, you will be relying on our management’s judgment.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ratified certain corporate actions pursuant to Section 204 of the DGCL, however there can be no assurance that claims will not be made to challenge the validity of the ratification or the related corporate actions.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part of our preparation for this offering, in February 2023, our Board and stockholders ratified certain actions pursuant to Section 204 of the DGCL, which allows a Delaware corporation to ratify a defective corporate act with effectiveness that is retroactive to the date the corporate act was originally taken. The Section 204 ratification, or the Ratification, was undertaken as a purely remedial matter in respect of certain failures of authorization and thereby remove any uncertainty and ensure the validity of certain security issuances, Board appointments and other corporate acts. To effect the Ratification, our Board identified and our Board and stockholders then ratified: (i) the adoption of the corporation’s bylaws; (ii) the fixing and changing the size and composition of the Board; (iii) the issuance of certain shares, stock options, warrants, and convertible notes; and (iv) the issuance of shares pursuant to a dividend. The Ratification also had the effect of removing uncertainty and ensuring the validity of actions whose validity has been called into question as a result of the preceding uncertainty and consequent uncertainty in respect of the authority of the directors and stockholders who authorized such actions (collectively with the acts ratified by the Ratification, the “Corporate Acts”) Thereafter, in accordance with Section 204, we gave prompt written notice of the Ratification to all holders of putative and valid stock (as such terms are used in Section 204) as of the date of the Corporate Acts and as of the date of the Ratification in accordance with Section 204.</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Section 205 of the DGCL, any claim that any Corporate Act ratified under the Ratification is void or voidable due to a failure of authorization (as defined in Section 204), or that the Delaware Court of Chancery should declare in its discretion that the ratification thereof in accordance with Section 204 not be effective or be effective only on certain conditions, must be brought within 120 days from the Ratification effective time, which in this case is June 2023. The Board and the holders of approximately % of our outstanding voting securities (valid and putative) consented to the Ratification and the effectiveness of the Corporate Acts. We believe that it is unlikely that any stockholder who did not consent to the Ratification will be able to show any injury sufficient to challenge the Ratification under Section 205 of the DGCL. While we believe that there is a low risk of challenge to the Ratification, and that it would be difficult for a challenger to establish a legal or equitable basis to invalidate or limit the Ratification or the Corporate Acts, there is a possibility that a court could uphold a challenge to the Ratification or to the Corporate Acts and, if it did, it could adversely affect the management and governance of our corporation.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closing of this offering, we intend to adopt an amended and restated certificate of incorporation and amended and restated bylaws. Provisions of our amended and restated certificate of incorporation and amended and restated bylaws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amended and restated certificate of incorporation and amended and restated bylaws:</w:t>
      </w:r>
    </w:p>
    <w:p>
      <w:pPr>
        <w:spacing w:after="0" w:line="176"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our stockholders from bringing matters before our annual meeting of stockholders or from making nominations for directors at our annual meeting of stockholders if the proper procedures are not followed;</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provide for stockholder action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that all board vacancies may be filled by the affirmative vote of a majority of directors then in office, even if less than a quorum.</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once we become a publicly traded corporation, Section 203 of the DGCL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may materially impact reporting of our financial condition and results of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A potential failure to maintain effective internal control over financial reporting in accordance with Section 404 of the Sarbanes-Oxley Act could have a material adverse effect on our business, financial condition, and results of operations.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648"/>
        <w:spacing w:after="0" w:line="270"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for our second annual report on Form 10-K filed with the SEC and in each year thereafter. Our auditors will also need to attest to the effectiveness of our internal control over financial reporting at such time as we are an accelerated filed or large accelerated filer and no longer an emerging growth company or smaller reporting company.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limited amount of public company experience of our management team could adversely impact our ability to comply with the reporting requirements of U.S. securities laws, which could have a materially adverse effect on our business.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officers have limited public company experience, which could impair our ability to comply with legal and regulatory requirements such as those imposed by Sarbanes-Oxley Act. Such responsibilities include complying with federal securities laws and making required disclosures on a timely basis. Any such deficiencies, weaknesses or lack of compliance could have a materially adverse effect on our ability to comply with the reporting requirements of the Securities Exchange Act of 1934, or the Exchange Act, which is necessary to maintain our public company status. If we were to fail to fulfill those obligations, our ability to continue as a U.S. public company would be in jeopardy in which event you could lose your entire investment in our Company.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 There is also a risk that neither we nor our independent registered public accounting firm (when applicable in the future) will be able to conclude within the prescribed timeframe that internal controls over financial reporting is effective as required by Section 404. As a result, investors could lose confidence in our financial and other public reporting, which would harm our business and the trading price of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firstLine="648"/>
        <w:spacing w:after="0" w:line="255" w:lineRule="auto"/>
        <w:rPr>
          <w:sz w:val="20"/>
          <w:szCs w:val="20"/>
          <w:color w:val="auto"/>
        </w:rPr>
      </w:pPr>
      <w:r>
        <w:rPr>
          <w:rFonts w:ascii="Arial" w:cs="Arial" w:eastAsia="Arial" w:hAnsi="Arial"/>
          <w:sz w:val="18"/>
          <w:szCs w:val="18"/>
          <w:color w:val="auto"/>
        </w:rPr>
        <w:t>During the preparation of our financial statements for the years ended December 31, 2022 and 2021, we and our independent registered public accounting firm identified a material weakness as it relates to a lack of adequate segregation of accounting functions and the appropriate accounting for certain warrants in 2021 that were issued in connection with our previously issued but no longer outstanding debt instruments. We are in the process of implementing measures designed to improve our internal control over financial reporting and remediate this material weakness. We intend to increase staffing within our accounting infrastructure sufficient to facilitate proper segregation of accounting functions and to enable appropriate review of our internally prepared financial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identify future material weaknesses in our internal controls over financial reporting or fail to meet the demands that will be placed upon us as a public company, including the requirements of the Sarbanes-Oxley, and we may be unable to accurately report our financial results, or report them within the timeframes required by law or stock exchange regulations. We cannot assure that our existing material weakness will be remediated or that additional material weaknesses will not exist or otherwise be discovered, any of which could adversely affect our reputation, financial condition and results of operations.</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becoming a public company that reports to the SEC and our management will be required to devote substantial time to meet compliance obligations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reporting to the SEC after this offering, we will incur significant legal, accounting and other expenses that we did not incur as a private company. We will be subject to reporting requirements of the Exchange Act and the reporting and governance provisions of the Sarbanes-Oxley Act and the Dodd-Frank Wall Street Reform and Protection Act, as well as rules subsequently implemented by the SEC, that impose significant requirements on public companies, including requiring establishment and maintenance of effective disclosure and financial controls and changes in corporate governance practices. There are significant corporate governance and reporting provisions in these laws that will increase our legal and financial compliance costs, make some activities more difficult, time-consuming or costly and may also place undue strain on our personnel, systems and resources. Our management and other personnel will need to devote a substantial amount of time to these regulations.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U.S. and global markets are experiencing volatility and disruption following the escalation of geopolitical tensions and the start of the military conflict between Russia and Ukraine. In February 2022, Russia launched a full-scale military invasion of Ukraine. Although the length and impact of the ongoing military conflict is highly unpredictable, the conflict in Ukraine could lead to market disruptions, including significant volatility in commodity prices, credit and capital markets. 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(SWIFT) payment system.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prospectus.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including the sections entitled “</w:t>
      </w:r>
      <w:r>
        <w:rPr>
          <w:rFonts w:ascii="Arial" w:cs="Arial" w:eastAsia="Arial" w:hAnsi="Arial"/>
          <w:sz w:val="18"/>
          <w:szCs w:val="18"/>
          <w:i w:val="1"/>
          <w:iCs w:val="1"/>
          <w:color w:val="auto"/>
        </w:rPr>
        <w:t>Prospectus Summary</w:t>
      </w:r>
      <w:r>
        <w:rPr>
          <w:rFonts w:ascii="Arial" w:cs="Arial" w:eastAsia="Arial" w:hAnsi="Arial"/>
          <w:sz w:val="18"/>
          <w:szCs w:val="18"/>
          <w:color w:val="auto"/>
        </w:rPr>
        <w:t>,”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Use of Proceeds,</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Business</w:t>
      </w:r>
      <w:r>
        <w:rPr>
          <w:rFonts w:ascii="Arial" w:cs="Arial" w:eastAsia="Arial" w:hAnsi="Arial"/>
          <w:sz w:val="18"/>
          <w:szCs w:val="18"/>
          <w:color w:val="auto"/>
        </w:rPr>
        <w:t>,” contains forward-looking statements. The words “believe,” “may,” “will,”</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“estimate,” “continue,” “anticipate,” “intend,” “could,” “would,” “project,” “plan,” “expect” and similar expressions that convey uncertainty of future events or outcomes are intended to identify forward-looking statements. These forward-looking statements include, but are not limited to, statements concerning the following:</w:t>
      </w:r>
    </w:p>
    <w:p>
      <w:pPr>
        <w:spacing w:after="0" w:line="18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financial and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intentions, expectations and beliefs regarding anticipated growth, market penetration and trends in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of our plan of commercialization;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develop and clinically test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FDA approval for any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comply with all U.S. and foreign regulations concerning the development, manufacture and sale of our product candidates;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adequacy of the net proceeds of this offering;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market conditions on our stock price and operating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 and our ability to compete effectively;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plans to use the proceeds from this offering;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initiating and defending intellectual property infringement and other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acquisitions of or investments in complementary companies or technologies;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comply with evolving legal standards and regulations, particularly concerning requirements for being a public company.</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w:t>
      </w:r>
      <w:r>
        <w:rPr>
          <w:rFonts w:ascii="Arial" w:cs="Arial" w:eastAsia="Arial" w:hAnsi="Arial"/>
          <w:sz w:val="17"/>
          <w:szCs w:val="17"/>
          <w:i w:val="1"/>
          <w:iCs w:val="1"/>
          <w:color w:val="auto"/>
        </w:rPr>
        <w:t>Risk Factors</w:t>
      </w:r>
      <w:r>
        <w:rPr>
          <w:rFonts w:ascii="Arial" w:cs="Arial" w:eastAsia="Arial" w:hAnsi="Arial"/>
          <w:sz w:val="17"/>
          <w:szCs w:val="17"/>
          <w:color w:val="auto"/>
        </w:rPr>
        <w:t>” and elsewhere in this prospectus.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our forward-looking statements.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own or have rights to use a number of registered and common law trademarks, service marks and/or trade names in connection with our business in the United States and/or in certain foreign jurisdictions.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that the net proceeds from our issuance and sale of 1,500,000 shares of our common stock in this offering, at an assumed initial public offering price of $5.00 per share (which is the midpoint of the price range set forth on the cover page of this prospectus), will be approximately $6.5 million (or $7.5 million if the underwriters exercise in full their option to purchase additional shares), and after deducting the estimated underwriting discounts and commissions and estimated offering expenses payable by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the net proceeds from this offering, along with our existing cash and cash equivalents, as follows:</w:t>
      </w:r>
    </w:p>
    <w:p>
      <w:pPr>
        <w:spacing w:after="0" w:line="225" w:lineRule="exact"/>
        <w:rPr>
          <w:sz w:val="20"/>
          <w:szCs w:val="20"/>
          <w:color w:val="auto"/>
        </w:rPr>
      </w:pPr>
    </w:p>
    <w:p>
      <w:pPr>
        <w:jc w:val="both"/>
        <w:ind w:left="980" w:hanging="324"/>
        <w:spacing w:after="0" w:line="287"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approximately $3.0 million to fund clinical trials and product development, including $2.5 million for the ATR-12 Netherton syndrome program, which is expected to provide funding for dosing in the proposed Phase 1b clinical trial, and $0.2 million for the ATR-04 EGFR inhibitor associated rash program, which is expected to provide funding through the initial enrollment for the proposed Phase 1b clinical trial;</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approximately $2.0 million for research and development, including approximately $1.0 million on ATR-12 biomarker development, $0.5 million on ATR-04 biomarker development and $0.5 million on new product development;</w:t>
      </w: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approximately $0.5 million for clinical manufacturing; and</w:t>
      </w:r>
    </w:p>
    <w:p>
      <w:pPr>
        <w:spacing w:after="0" w:line="9"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balance for other general corporate purposes, including in-licensing and partnering activities, laboratory facility improvements, general and administrative expenses and working capital.</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believe opportunities may exist from time to time to expand our current business through the acquisition or in-license of complementary product candidates. While we have no current agreements or plans for any specific acquisitions or in-licenses at this time, we may use a portion of the net proceeds for these purposes.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clinical trials and other development and commercialization efforts for our initial product candidates, as well as the amount of cash used in our operations. However, we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short-and intermediate-term, interest-bearing obligations, investment-grade instruments, certificates of deposit or direct or guaranteed obligations of the government.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never declared or paid any cash dividends on our common stock and we do not anticipate paying any cash dividends on our common stock in the foreseeable future. Investors should not purchase our common stock with the expectation of receiving cash dividends. The payment of dividends on our common stock, if any, in the future is within the discretion of our Board and will depend on our earnings, capital requirements and financial condition and other relevant facts. We currently intend to retain all future earnings, if any, to finance the development and growth of our business.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capitalization as of March 31, 2023:</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3"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basis to give effect to (i) a forward stock split, or the Stock Split, effected on May 17, 2023 at a ratio of 7.1-for-1, (ii) the automatic conversion of all outstanding convertible preferred stock into an aggregate of 7,693,436 shares of common stock upon the closing of this offering, and (iii) the automatic conversion of all convertible promissory notes into an aggregate of 1,838,775 shares of common stock, upon the closing of this offering, based on an initial public offering price of $5.00 per share (which is the midpoint of the price range set forth on the cover page of this prospectus);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 pro forma as adjusted basis to reflect, in addition, our sale of 1,500,000 shares of common stock in this offering at the assumed initial public offering price of $5.00 per share (which is the midpoint of the price range set forth on the cover page of this prospectus), after deducting underwriting discounts and commissions and estimated offering expenses payable by us.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share and share price information in this prospectus have been adjusted to reflect the Stock Split.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and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appearing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6"/>
              </w:rPr>
              <w:t>As of March 31, 2023</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60" w:type="dxa"/>
            <w:vAlign w:val="bottom"/>
            <w:vMerge w:val="restart"/>
          </w:tcPr>
          <w:p>
            <w:pPr>
              <w:spacing w:after="0"/>
              <w:rPr>
                <w:sz w:val="20"/>
                <w:szCs w:val="20"/>
                <w:color w:val="auto"/>
              </w:rPr>
            </w:pPr>
            <w:r>
              <w:rPr>
                <w:rFonts w:ascii="Arial" w:cs="Arial" w:eastAsia="Arial" w:hAnsi="Arial"/>
                <w:sz w:val="18"/>
                <w:szCs w:val="18"/>
                <w:color w:val="auto"/>
              </w:rPr>
              <w:t>(in thousands, except share amounts)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4"/>
              </w:rPr>
              <w:t>Pro Forma 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Actual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Pro Forma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Convertible notes payable</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Series A convertible preferred stock; $0.0001 par value, 205,385 shares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2"/>
              </w:rPr>
              <w:t>authorized, issued and outstanding, actual; no shares issued and outstanding, pro</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forma and pro forma as adjusted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3,273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Series A-1 convertible preferred stock; $0.0001 par value, 380,657 shares</w:t>
            </w: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w w:val="92"/>
              </w:rPr>
              <w:t>authorized, issued and outstanding, actual; no shares issued and outstanding, pro</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60" w:type="dxa"/>
            <w:vAlign w:val="bottom"/>
          </w:tcPr>
          <w:p>
            <w:pPr>
              <w:spacing w:after="0"/>
              <w:rPr>
                <w:sz w:val="20"/>
                <w:szCs w:val="20"/>
                <w:color w:val="auto"/>
              </w:rPr>
            </w:pPr>
            <w:r>
              <w:rPr>
                <w:rFonts w:ascii="Arial" w:cs="Arial" w:eastAsia="Arial" w:hAnsi="Arial"/>
                <w:sz w:val="18"/>
                <w:szCs w:val="18"/>
                <w:color w:val="auto"/>
              </w:rPr>
              <w:t>forma and pro forma as adjusted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14,101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60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Series B convertible preferred stock; $0.0001 par value, 851,108 shares</w:t>
            </w:r>
          </w:p>
        </w:tc>
        <w:tc>
          <w:tcPr>
            <w:tcW w:w="3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authorized, 414,735 issued and outstanding, actual; no shares issued and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pro forma and pro forma as adjusted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17,446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3"/>
              </w:rPr>
              <w:t>Common stock, $0.0001 par value, 1,950,000 shares authorized, 147,041 shares</w:t>
            </w: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w w:val="96"/>
              </w:rPr>
              <w:t>issued and outstanding, actual; 10,586,510 shares issued and outstanding, pro</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forma; 12,086,510 shares issued and outstanding, pro forma as adjusted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1,093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(39,772)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(42,475)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(42,475)</w:t>
            </w:r>
          </w:p>
        </w:tc>
        <w:tc>
          <w:tcPr>
            <w:tcW w:w="0" w:type="dxa"/>
            <w:vAlign w:val="bottom"/>
          </w:tcPr>
          <w:p>
            <w:pPr>
              <w:spacing w:after="0"/>
              <w:rPr>
                <w:sz w:val="1"/>
                <w:szCs w:val="1"/>
                <w:color w:val="auto"/>
              </w:rPr>
            </w:pPr>
          </w:p>
        </w:tc>
      </w:tr>
      <w:tr>
        <w:trPr>
          <w:trHeight w:val="236"/>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Total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5540"/>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6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amount per share paid by purchasers of shares of common stock in this offering and the pro forma as adjusted net tangible book value per share of common stock immediately after the completion of this offering.</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2023, our pro forma net tangible book value was approximately $3.4 million, or $0.32 per share of common stock. Our pro forma net tangible book value per share represents the amount of our total tangible assets reduced by the amount of our total liabilities and divided by the total number of shares of our common stock outstanding as of March 31, 2023, after giving effect to (i) a forward stock split, or the Stock Split, effected on May 17, 2023 at a ratio of 7.1-for-1; and (ii) the automatic conversion of all outstanding shares of our preferred stock and convertible notes as of March 31, 2023 into shares of common stock upon the closing of this offering, based on the initial public offering price of $5.00 per share (which is the midpoint of the price range set forth on the cover page of this prospectus).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After giving effect to our sale in this offering of 1,500,000 shares of our common stock, at the assumed initial public offering price of $5.00 per share (which is the midpoint of the price range set forth on the cover page of this prospectus), after deducting underwriting discounts and commissions and estimated offering expenses payable by us, our pro forma as adjusted net tangible book value as of March 31, 2023 would have been approximately $8.7 million, or $0.72 per share of our common stock. This represents an immediate increase in pro forma as adjusted net tangible book value of $0.40 per share to our existing stockholders and an immediate dilution of $4.28 per share to investors purchasing shares in this offering.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ind w:left="660"/>
              <w:spacing w:after="0"/>
              <w:rPr>
                <w:sz w:val="20"/>
                <w:szCs w:val="20"/>
                <w:color w:val="auto"/>
              </w:rPr>
            </w:pPr>
            <w:r>
              <w:rPr>
                <w:rFonts w:ascii="Arial" w:cs="Arial" w:eastAsia="Arial" w:hAnsi="Arial"/>
                <w:sz w:val="18"/>
                <w:szCs w:val="18"/>
                <w:color w:val="auto"/>
              </w:rPr>
              <w:t>The following table illustrates this dilution:</w:t>
            </w: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7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02"/>
        </w:trPr>
        <w:tc>
          <w:tcPr>
            <w:tcW w:w="7420" w:type="dxa"/>
            <w:vAlign w:val="bottom"/>
          </w:tcPr>
          <w:p>
            <w:pPr>
              <w:ind w:left="180"/>
              <w:spacing w:after="0" w:line="201" w:lineRule="exact"/>
              <w:rPr>
                <w:sz w:val="20"/>
                <w:szCs w:val="20"/>
                <w:color w:val="auto"/>
              </w:rPr>
            </w:pPr>
            <w:r>
              <w:rPr>
                <w:rFonts w:ascii="Arial" w:cs="Arial" w:eastAsia="Arial" w:hAnsi="Arial"/>
                <w:sz w:val="18"/>
                <w:szCs w:val="18"/>
                <w:color w:val="auto"/>
                <w:w w:val="97"/>
              </w:rPr>
              <w:t>Pro forma net tangible book value per share as of March 31, 2023, before giving effect to this</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purchasing shares in this offering</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3"/>
        </w:trPr>
        <w:tc>
          <w:tcPr>
            <w:tcW w:w="7420" w:type="dxa"/>
            <w:vAlign w:val="bottom"/>
          </w:tcPr>
          <w:p>
            <w:pPr>
              <w:ind w:left="180"/>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7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$1.00 increase or decrease in the assumed initial public offering price of $5.00 per share (which is the midpoint of the price range set forth on the cover page of this prospectus), would increase or decrease, as applicable, our pro forma as adjusted net tangible book value per share to new investors by $0.03, and would increase or decrease, as applicable, dilution per share to new investors in this offering by $0.96, assuming that the number of shares offered by us, as set forth on the cover page of this prospectus, remains the same and after deducting estimated underwriting discounts and commissions. In addition, to the extent any outstanding options or warrants are exercised, new investors would experience further dilution. If the underwriters exercise their over-allotment option in full, the pro forma as adjusted net tangible book value per share would be $0.70 per share, and the dilution in pro forma net tangible book value per share to new investors in this offering would be $4.30 per share.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firstLine="648"/>
        <w:spacing w:after="0" w:line="275" w:lineRule="auto"/>
        <w:rPr>
          <w:sz w:val="20"/>
          <w:szCs w:val="20"/>
          <w:color w:val="auto"/>
        </w:rPr>
      </w:pPr>
      <w:r>
        <w:rPr>
          <w:rFonts w:ascii="Arial" w:cs="Arial" w:eastAsia="Arial" w:hAnsi="Arial"/>
          <w:sz w:val="17"/>
          <w:szCs w:val="17"/>
          <w:color w:val="auto"/>
        </w:rPr>
        <w:t>The following table summarizes, on a pro forma as adjusted basis as described above, the difference between existing stockholders (after giving effect to (i) the Stock Split and (ii) the automatic conversion of all outstanding shares of our preferred stock and outstanding convertible notes into shares of common stock upon the closing of this offering) and new investors with respect to the number of shares of common stock purchased from us, the total consideration paid to us and the assumed initial public offering price of $5.00 per share (which is the midpoint of the price range set forth on the cover page of this prospectus), before deducting underwriting discounts and commissions and estimated offering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80" w:type="dxa"/>
            <w:vAlign w:val="bottom"/>
          </w:tcPr>
          <w:p>
            <w:pPr>
              <w:spacing w:after="0"/>
              <w:rPr>
                <w:sz w:val="22"/>
                <w:szCs w:val="22"/>
                <w:color w:val="auto"/>
              </w:rPr>
            </w:pPr>
          </w:p>
        </w:tc>
        <w:tc>
          <w:tcPr>
            <w:tcW w:w="316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Shares Purchased</w:t>
            </w:r>
          </w:p>
        </w:tc>
        <w:tc>
          <w:tcPr>
            <w:tcW w:w="200" w:type="dxa"/>
            <w:vAlign w:val="bottom"/>
          </w:tcPr>
          <w:p>
            <w:pPr>
              <w:spacing w:after="0"/>
              <w:rPr>
                <w:sz w:val="22"/>
                <w:szCs w:val="22"/>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4"/>
        </w:trPr>
        <w:tc>
          <w:tcPr>
            <w:tcW w:w="35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 Per</w:t>
            </w:r>
          </w:p>
        </w:tc>
      </w:tr>
      <w:tr>
        <w:trPr>
          <w:trHeight w:val="252"/>
        </w:trPr>
        <w:tc>
          <w:tcPr>
            <w:tcW w:w="3580" w:type="dxa"/>
            <w:vAlign w:val="bottom"/>
          </w:tcPr>
          <w:p>
            <w:pPr>
              <w:spacing w:after="0"/>
              <w:rPr>
                <w:sz w:val="21"/>
                <w:szCs w:val="21"/>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21"/>
                <w:szCs w:val="2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10,586,510</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40,182,933</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New public investors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1,500,000</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7,500,000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r>
      <w:tr>
        <w:trPr>
          <w:trHeight w:val="223"/>
        </w:trPr>
        <w:tc>
          <w:tcPr>
            <w:tcW w:w="3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12,086,510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47,682,933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indicated, the foregoing tables and calculations are based on the number of shares of our common stock outstanding as of March 31, 2023, after giving effect to (i) the Stock Split; and (ii) the automatic conversion of all outstanding shares of our preferred stock and convertible promissory notes into shares of common stock upon the closing of this offering, and excludes:</w:t>
      </w:r>
    </w:p>
    <w:p>
      <w:pPr>
        <w:spacing w:after="0" w:line="184" w:lineRule="exact"/>
        <w:rPr>
          <w:sz w:val="20"/>
          <w:szCs w:val="20"/>
          <w:color w:val="auto"/>
        </w:rPr>
      </w:pPr>
    </w:p>
    <w:p>
      <w:pPr>
        <w:ind w:left="980" w:hanging="324"/>
        <w:spacing w:after="0" w:line="25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1,290,319 shares of our common stock issuable upon exercise of outstanding options, with a weighted average exercise price of $1.33 per share, granted pursuant to our 2016 Stock Incentive Plan, or the 2016 Plan;</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275,210 shares of our common stock issuable upon exercise of outstanding warrants, with a weighted average exercise price of $4.23 per share</w:t>
      </w: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 to 225,000 shares issuable pursuant to the underwriters’ over-allotment option;</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60,000 shares issuable upon exercise of a warrant to be issued to the underwriter as part of its compensation in connection with this offering (up to 69,000 shares if the over-allotment option is exercised) at an exercise price of $6.25 per share; and</w:t>
      </w:r>
    </w:p>
    <w:p>
      <w:pPr>
        <w:ind w:left="980" w:hanging="324"/>
        <w:spacing w:after="0" w:line="26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157,989 shares of our common stock reserved for future grants under our 2016 Plan and 2,000,000 shares of our common stock reserved for future grants under our 2023 Stock Incentive Plan, or the 2023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You should read the following discussion together with our financial statements and the related notes included elsewhere in this prospectus. This discussion contains forward-looking statements that are based on our current expectations, estimates and projections about our business and operations. Our actual results may differ materially from those currently anticipated and expressed in such forward-looking statements as a result of a number of factors, including those which we discuss under “Risk Factors” and elsewhere in this prospectus. See the section titled “Cautionary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formed in January 2014 as a biopharmaceutical company focused on developing innovative therapies for precision dermatology using engineered proteins and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a genetic engineering technology, which can enable the transformation of previously genetically intractable strains. We are an early-stage clinical biopharmaceutical company and have not commenced commercial operations.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date, we have capitalized our operations primarily through a series of private placements of our convertible preferred stock and convertible promissory notes, all of which will convert into shares of our common stock upon the consummation of this offering, including:</w:t>
      </w:r>
    </w:p>
    <w:p>
      <w:pPr>
        <w:spacing w:after="0" w:line="170" w:lineRule="exact"/>
        <w:rPr>
          <w:sz w:val="20"/>
          <w:szCs w:val="20"/>
          <w:color w:val="auto"/>
        </w:rPr>
      </w:pPr>
    </w:p>
    <w:p>
      <w:pPr>
        <w:ind w:left="980" w:hanging="324"/>
        <w:spacing w:after="0" w:line="25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March 2017 placement of 205,385 shares of our Series A convertible preferred stock, at a price of $16.25 per share, which will convert into 1,458,234 shares of our common stock upon the consummation of this offering;</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February 2019 placement of 380,657 shares of our Series A-1 convertible preferred stock, at a price of $37.50 per share, which will convert into 2,958,120 shares of our common stock upon the consummation of this offering;</w:t>
      </w:r>
    </w:p>
    <w:p>
      <w:pPr>
        <w:ind w:left="9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September 2020 placement of 392,000 shares of our Series B convertible preferred stock, at a price of $43.45 per share, which will convert into 3,277,083 shares of our common stock upon the consummation of this offering;</w:t>
      </w:r>
    </w:p>
    <w:p>
      <w:pPr>
        <w:ind w:left="980" w:hanging="324"/>
        <w:spacing w:after="0" w:line="265"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January 2021 placement of a $1 million unsecured convertible promissory note, the principal amount of which, along with all accrued and unpaid interest thereunder, converted into 23,432 shares of our Series B convertible preferred stock in January 2023; and</w:t>
      </w:r>
    </w:p>
    <w:p>
      <w:pPr>
        <w:jc w:val="both"/>
        <w:ind w:left="980" w:hanging="324"/>
        <w:spacing w:after="0" w:line="25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September 2022 placement of $4.35 million of our unsecured convertible promissory notes, the principal amount of which, along with all accrued and unpaid interest thereunder, is convertible into shares of our common at the per share conversion price equal to the lower of (i) $30 million divided the number of our shares of common stock issued and outstanding, on a fully diluted basis, immediately prior to the close of this offering or (ii) 50% of the price per share in this offering.</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Except as otherwise indicated, all information in this prospectus concerning our outstanding share of common stock (i) gives effect to a forward stock split effected on May 17, 2023 at a ratio of 7.1-for-1, and (ii) assumes the automatic conversion of the above-described shares of convertible preferred stock and convertible promissory notes, based on the initial public offering price of $5.00 per share (which is the midpoint of the price range set forth on the cover page of this prospectus), into a total of approximately 9,542,519 shares of our common stock upon the consummation of this offering. Unless otherwise indicated, all other share and share price information in this prospectus have been adjusted to reflect the forward stock split.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early-stage clinical biopharmaceutical company, formed in January 2014, and have limited operating history. We have not commenced revenue-producing operations apart from limited service revenue derived through our JDA with Bayer. Under the terms of the JDA, we are responsible for testing our library of microbial strains and their natural products for key preclinical properties and Bayer reimburses us for our development costs. To date, our operations have consisted of the development of our proprietary microbial library, the identification, characterization and testing of certain bacterial species from our microbial library that we believe are capable of being engineered to provide significant therapeutic effect and the development of our initial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w w:val="96"/>
              </w:rPr>
              <w:t>Three months ended March 31,</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621"/>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r>
      <w:tr>
        <w:trPr>
          <w:trHeight w:val="23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 - related party</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r>
      <w:tr>
        <w:trPr>
          <w:trHeight w:val="203"/>
        </w:trPr>
        <w:tc>
          <w:tcPr>
            <w:tcW w:w="3760" w:type="dxa"/>
            <w:vAlign w:val="bottom"/>
          </w:tcPr>
          <w:p>
            <w:pPr>
              <w:spacing w:after="0" w:line="203" w:lineRule="exact"/>
              <w:rPr>
                <w:sz w:val="20"/>
                <w:szCs w:val="20"/>
                <w:color w:val="auto"/>
              </w:rPr>
            </w:pPr>
            <w:r>
              <w:rPr>
                <w:rFonts w:ascii="Arial" w:cs="Arial" w:eastAsia="Arial" w:hAnsi="Arial"/>
                <w:sz w:val="18"/>
                <w:szCs w:val="18"/>
                <w:color w:val="auto"/>
              </w:rPr>
              <w:t>Total revenue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113,300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120,000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(6,700)</w:t>
            </w:r>
          </w:p>
        </w:tc>
        <w:tc>
          <w:tcPr>
            <w:tcW w:w="340" w:type="dxa"/>
            <w:vAlign w:val="bottom"/>
          </w:tcPr>
          <w:p>
            <w:pPr>
              <w:spacing w:after="0"/>
              <w:rPr>
                <w:sz w:val="17"/>
                <w:szCs w:val="17"/>
                <w:color w:val="auto"/>
              </w:rPr>
            </w:pPr>
          </w:p>
        </w:tc>
        <w:tc>
          <w:tcPr>
            <w:tcW w:w="16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w:t>
            </w:r>
          </w:p>
        </w:tc>
      </w:tr>
      <w:tr>
        <w:trPr>
          <w:trHeight w:val="216"/>
        </w:trPr>
        <w:tc>
          <w:tcPr>
            <w:tcW w:w="3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rPr>
              <w:t>843,011</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861,308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(18,297)</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830,181</w:t>
            </w:r>
          </w:p>
        </w:tc>
        <w:tc>
          <w:tcPr>
            <w:tcW w:w="240" w:type="dxa"/>
            <w:vAlign w:val="bottom"/>
          </w:tcPr>
          <w:p>
            <w:pPr>
              <w:spacing w:after="0"/>
              <w:rPr>
                <w:sz w:val="20"/>
                <w:szCs w:val="20"/>
                <w:color w:val="auto"/>
              </w:rPr>
            </w:pPr>
          </w:p>
        </w:tc>
        <w:tc>
          <w:tcPr>
            <w:tcW w:w="1540" w:type="dxa"/>
            <w:vAlign w:val="bottom"/>
            <w:gridSpan w:val="2"/>
          </w:tcPr>
          <w:p>
            <w:pPr>
              <w:jc w:val="right"/>
              <w:ind w:right="261"/>
              <w:spacing w:after="0"/>
              <w:rPr>
                <w:sz w:val="20"/>
                <w:szCs w:val="20"/>
                <w:color w:val="auto"/>
              </w:rPr>
            </w:pPr>
            <w:r>
              <w:rPr>
                <w:rFonts w:ascii="Arial" w:cs="Arial" w:eastAsia="Arial" w:hAnsi="Arial"/>
                <w:sz w:val="18"/>
                <w:szCs w:val="18"/>
                <w:color w:val="auto"/>
              </w:rPr>
              <w:t>1,555,368</w:t>
            </w:r>
          </w:p>
        </w:tc>
        <w:tc>
          <w:tcPr>
            <w:tcW w:w="22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(725,187)</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1,673,192</w:t>
            </w:r>
          </w:p>
        </w:tc>
        <w:tc>
          <w:tcPr>
            <w:tcW w:w="3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2,416,676</w:t>
            </w:r>
          </w:p>
        </w:tc>
        <w:tc>
          <w:tcPr>
            <w:tcW w:w="3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(743,484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r>
      <w:tr>
        <w:trPr>
          <w:trHeight w:val="243"/>
        </w:trPr>
        <w:tc>
          <w:tcPr>
            <w:tcW w:w="37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(1,559,892)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(2,296,676)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736,784</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285</w:t>
            </w:r>
          </w:p>
        </w:tc>
        <w:tc>
          <w:tcPr>
            <w:tcW w:w="240" w:type="dxa"/>
            <w:vAlign w:val="bottom"/>
          </w:tcPr>
          <w:p>
            <w:pPr>
              <w:spacing w:after="0"/>
              <w:rPr>
                <w:sz w:val="18"/>
                <w:szCs w:val="18"/>
                <w:color w:val="auto"/>
              </w:rPr>
            </w:pPr>
          </w:p>
        </w:tc>
        <w:tc>
          <w:tcPr>
            <w:tcW w:w="1540" w:type="dxa"/>
            <w:vAlign w:val="bottom"/>
            <w:gridSpan w:val="2"/>
          </w:tcPr>
          <w:p>
            <w:pPr>
              <w:jc w:val="right"/>
              <w:ind w:right="261"/>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(235)</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(89,832)</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(17,637)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(72,195)</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1,146</w:t>
            </w:r>
          </w:p>
        </w:tc>
        <w:tc>
          <w:tcPr>
            <w:tcW w:w="240" w:type="dxa"/>
            <w:vAlign w:val="bottom"/>
          </w:tcPr>
          <w:p>
            <w:pPr>
              <w:spacing w:after="0"/>
              <w:rPr>
                <w:sz w:val="18"/>
                <w:szCs w:val="18"/>
                <w:color w:val="auto"/>
              </w:rPr>
            </w:pPr>
          </w:p>
        </w:tc>
        <w:tc>
          <w:tcPr>
            <w:tcW w:w="15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26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note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(800,000)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r>
      <w:tr>
        <w:trPr>
          <w:trHeight w:val="237"/>
        </w:trPr>
        <w:tc>
          <w:tcPr>
            <w:tcW w:w="376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(8,886)</w:t>
            </w:r>
          </w:p>
        </w:tc>
        <w:tc>
          <w:tcPr>
            <w:tcW w:w="240" w:type="dxa"/>
            <w:vAlign w:val="bottom"/>
          </w:tcPr>
          <w:p>
            <w:pPr>
              <w:spacing w:after="0"/>
              <w:rPr>
                <w:sz w:val="20"/>
                <w:szCs w:val="20"/>
                <w:color w:val="auto"/>
              </w:rPr>
            </w:pPr>
          </w:p>
        </w:tc>
        <w:tc>
          <w:tcPr>
            <w:tcW w:w="1540" w:type="dxa"/>
            <w:vAlign w:val="bottom"/>
            <w:gridSpan w:val="2"/>
          </w:tcPr>
          <w:p>
            <w:pPr>
              <w:jc w:val="right"/>
              <w:ind w:right="201"/>
              <w:spacing w:after="0"/>
              <w:rPr>
                <w:sz w:val="20"/>
                <w:szCs w:val="20"/>
                <w:color w:val="auto"/>
              </w:rPr>
            </w:pPr>
            <w:r>
              <w:rPr>
                <w:rFonts w:ascii="Arial" w:cs="Arial" w:eastAsia="Arial" w:hAnsi="Arial"/>
                <w:sz w:val="18"/>
                <w:szCs w:val="18"/>
                <w:color w:val="auto"/>
              </w:rPr>
              <w:t>(12,224)</w:t>
            </w:r>
          </w:p>
        </w:tc>
        <w:tc>
          <w:tcPr>
            <w:tcW w:w="220" w:type="dxa"/>
            <w:vAlign w:val="bottom"/>
          </w:tcPr>
          <w:p>
            <w:pPr>
              <w:spacing w:after="0"/>
              <w:rPr>
                <w:sz w:val="20"/>
                <w:szCs w:val="20"/>
                <w:color w:val="auto"/>
              </w:rPr>
            </w:pPr>
          </w:p>
        </w:tc>
        <w:tc>
          <w:tcPr>
            <w:tcW w:w="1560" w:type="dxa"/>
            <w:vAlign w:val="bottom"/>
            <w:gridSpan w:val="2"/>
          </w:tcPr>
          <w:p>
            <w:pPr>
              <w:jc w:val="right"/>
              <w:ind w:right="261"/>
              <w:spacing w:after="0"/>
              <w:rPr>
                <w:sz w:val="20"/>
                <w:szCs w:val="20"/>
                <w:color w:val="auto"/>
              </w:rPr>
            </w:pPr>
            <w:r>
              <w:rPr>
                <w:rFonts w:ascii="Arial" w:cs="Arial" w:eastAsia="Arial" w:hAnsi="Arial"/>
                <w:sz w:val="18"/>
                <w:szCs w:val="18"/>
                <w:color w:val="auto"/>
              </w:rPr>
              <w:t>3,338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(897,287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(867,946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(2,457,179)</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(2,326,017)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(131,162)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43"/>
        </w:trPr>
        <w:tc>
          <w:tcPr>
            <w:tcW w:w="37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(2,457,179)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(2,326,017)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(131,162)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rPr>
              <w:t>(712,080)</w:t>
            </w:r>
          </w:p>
        </w:tc>
        <w:tc>
          <w:tcPr>
            <w:tcW w:w="240" w:type="dxa"/>
            <w:vAlign w:val="bottom"/>
          </w:tcPr>
          <w:p>
            <w:pPr>
              <w:spacing w:after="0"/>
              <w:rPr>
                <w:sz w:val="20"/>
                <w:szCs w:val="20"/>
                <w:color w:val="auto"/>
              </w:rPr>
            </w:pPr>
          </w:p>
        </w:tc>
        <w:tc>
          <w:tcPr>
            <w:tcW w:w="1540" w:type="dxa"/>
            <w:vAlign w:val="bottom"/>
            <w:gridSpan w:val="2"/>
          </w:tcPr>
          <w:p>
            <w:pPr>
              <w:jc w:val="right"/>
              <w:ind w:right="201"/>
              <w:spacing w:after="0"/>
              <w:rPr>
                <w:sz w:val="20"/>
                <w:szCs w:val="20"/>
                <w:color w:val="auto"/>
              </w:rPr>
            </w:pPr>
            <w:r>
              <w:rPr>
                <w:rFonts w:ascii="Arial" w:cs="Arial" w:eastAsia="Arial" w:hAnsi="Arial"/>
                <w:sz w:val="18"/>
                <w:szCs w:val="18"/>
                <w:color w:val="auto"/>
              </w:rPr>
              <w:t>(692,246)</w:t>
            </w:r>
          </w:p>
        </w:tc>
        <w:tc>
          <w:tcPr>
            <w:tcW w:w="22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(19,834)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(3,169,259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(3,018,263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(150,996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 Revenue - Related Party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generated $113,300 of service revenue under the Bayer JDA during the first three months of fiscal 2023 compared to service revenue of $120,000 under the JDA for the comparable period in fiscal 2022. The decrease of $6,700 in service revenue is attributable to a decreased amount of reimbursable development costs in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costs during the first three months of fiscal 2023 decreased by $18,297 or 2%, to $843,011 from the prior year period. The decrease was primarily related to a decrease of $158,000 in payroll and related costs attributable to the discontinuation of separation benefits paid to our former chief operating officer and a $46,000 reduction in legal expenses, offset by an increase of $167,000 in accounting and public relation fees, and $18,703 net increase of other overhead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include salaries and benefits of all research personnel, payments to contract research organizations, payments to research consultants, and the purchase of lab supplies. These expenses are offset by income earned from government grant payments. We generate grant revenue on contracts with various federal agencies and nonprofit research institutions for general research conducted by us. These grant arrangements also do not meet the criteria for revenue recognition and amounts earned under these grant contracts are recorded as a negative research and development expense.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three months of fiscal 2023, research and development expenses decreased by $725,187, or 47%, to $830,181 from the prior year period. The decrease was primarily related to a decrease of $448,613 in research and development related costs attributable to our efforts in moving our Netherton program forward and a net decrease in payroll and related costs of $281,000 attributable to a reduction in staff. Research and development expenses for the first three months in fiscal 2023 and 2022 were offset by $0 and $4,426, respectively, of government and nonprofit grant revenue received by us.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our research and development expenses to significantly increase in the future due primarily to our planned clinical trial activity and continued development of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ectPr>
          <w:pgSz w:w="11900" w:h="16838" w:orient="portrait"/>
          <w:cols w:equalWidth="0" w:num="1">
            <w:col w:w="11240"/>
          </w:cols>
          <w:pgMar w:left="320" w:top="661" w:right="339" w:bottom="25" w:gutter="0" w:footer="0" w:header="0"/>
        </w:sectPr>
      </w:pPr>
    </w:p>
    <w:bookmarkStart w:id="52" w:name="page53"/>
    <w:bookmarkEnd w:id="52"/>
    <w:p>
      <w:pPr>
        <w:jc w:val="both"/>
        <w:ind w:firstLine="648"/>
        <w:spacing w:after="0" w:line="275" w:lineRule="auto"/>
        <w:rPr>
          <w:sz w:val="20"/>
          <w:szCs w:val="20"/>
          <w:color w:val="auto"/>
        </w:rPr>
      </w:pPr>
      <w:r>
        <w:rPr>
          <w:rFonts w:ascii="Arial" w:cs="Arial" w:eastAsia="Arial" w:hAnsi="Arial"/>
          <w:sz w:val="17"/>
          <w:szCs w:val="17"/>
          <w:color w:val="auto"/>
        </w:rPr>
        <w:t>Our other income (expense) consists of refundable research and development credits, valuation of warrants, amortization of debt issuance costs, change in fair value of the convertible note and interest expense on the placement of the $1 million unsecured promissory note in January 2021. During the first three months of fiscal 2023, other income (expense) increased by $867,946, or 2,958%, compared to the comparable period in fiscal 2021. The increase was primarily related to an increase of $800,000 attributable to the change in fair value of the convertible note, an increase of $72,195 attributable to interest expense offset by a net decrease of $4,249 of other income and expenses.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ind w:right="901"/>
              <w:spacing w:after="0"/>
              <w:rPr>
                <w:sz w:val="20"/>
                <w:szCs w:val="20"/>
                <w:color w:val="auto"/>
              </w:rPr>
            </w:pPr>
            <w:r>
              <w:rPr>
                <w:rFonts w:ascii="Arial" w:cs="Arial" w:eastAsia="Arial" w:hAnsi="Arial"/>
                <w:sz w:val="18"/>
                <w:szCs w:val="18"/>
                <w:b w:val="1"/>
                <w:bCs w:val="1"/>
                <w:color w:val="auto"/>
                <w:w w:val="99"/>
              </w:rPr>
              <w:t>Years ended December 31,</w:t>
            </w: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661"/>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 – related party</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174,000</w:t>
            </w:r>
          </w:p>
        </w:tc>
        <w:tc>
          <w:tcPr>
            <w:tcW w:w="3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3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3,639,666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3,951,352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(311,686)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6,097,938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5,380,102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717,836</w:t>
            </w:r>
          </w:p>
        </w:tc>
        <w:tc>
          <w:tcPr>
            <w:tcW w:w="3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9,737,604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9,331,454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406,150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(9,453,604)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(9,221,454)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(232,150)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4,818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8,759</w:t>
            </w:r>
          </w:p>
        </w:tc>
        <w:tc>
          <w:tcPr>
            <w:tcW w:w="22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(3,941)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(251,891)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(66,968)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(184,923)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65,849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112,141</w:t>
            </w:r>
          </w:p>
        </w:tc>
        <w:tc>
          <w:tcPr>
            <w:tcW w:w="22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(46,292)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retention credit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229,813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229,813</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w w:val="98"/>
              </w:rPr>
              <w:t>Forgiveness of Payroll Protection Program loan</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232,506</w:t>
            </w:r>
          </w:p>
        </w:tc>
        <w:tc>
          <w:tcPr>
            <w:tcW w:w="22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(232,506)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note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(1,250,000)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(1,250,000)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9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(25,351)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(4,659)</w:t>
            </w:r>
          </w:p>
        </w:tc>
        <w:tc>
          <w:tcPr>
            <w:tcW w:w="220" w:type="dxa"/>
            <w:vAlign w:val="bottom"/>
          </w:tcPr>
          <w:p>
            <w:pPr>
              <w:spacing w:after="0"/>
              <w:rPr>
                <w:sz w:val="19"/>
                <w:szCs w:val="19"/>
                <w:color w:val="auto"/>
              </w:rPr>
            </w:pP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(20,692)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444%</w:t>
            </w: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(1,226,762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281,779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(1,508,541</w:t>
            </w:r>
          </w:p>
        </w:tc>
        <w:tc>
          <w:tcPr>
            <w:tcW w:w="32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Arial" w:cs="Arial" w:eastAsia="Arial" w:hAnsi="Arial"/>
                <w:sz w:val="8"/>
                <w:szCs w:val="8"/>
                <w:color w:val="auto"/>
                <w:w w:val="7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(10,680,366)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(8,939,675)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(1,740,691)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0"/>
        </w:trPr>
        <w:tc>
          <w:tcPr>
            <w:tcW w:w="39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(10,680,366)</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(8,939,675)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(1,740,691)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 Revenue - Related Party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generated $284,000 of service revenue under the Bayer JDA during fiscal 2022 compared to service revenue of $110,000 under the JDA in fiscal 2021. The increase of $174,000 in service revenue is attributable to an increased amount of reimbursable development costs in 2022.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costs during fiscal 2022 decreased by $311,686, or 8%, to $3,639,666 from the prior year period. The decrease was primarily related to a decrease of $961,000 in payroll and related costs attributable to the discontinuation of separation benefits paid to our former chief executive officer and chief operating officer and the reduction in recruiting expenses for our new chief executive officer, offset by an increase of $607,000 in accounting and legal fees, and $43,000 net increase of other overhead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include salaries and benefits of all research personnel, payments to contract research organizations, payments to research consultants, and the purchase of lab supplies. These expenses are offset by income earned from government grant payments. We generate grant revenue on contracts with various federal agencies and nonprofit research institutions for general research conducted by us. These grant arrangements also do not meet the criteria for revenue recognition and amounts earned under these grant contracts are recorded as a negative research and development expense.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fiscal 2022, research and development expenses increased by $717,836, or 13%, to $6,097,938 from the prior year period. The increase was primarily related to an increase of $808,000 in research and development related costs attributable to our efforts in moving our Netherton program forward offset by a net decrease in payroll and related costs of $85,738 attributable to a reduction in staff. Research and development expenses in fiscal 2022 and 2021 were offset by $4,426 and $202,509, respectively, of government and nonprofit grant revenue received by us.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our research and development expenses to significantly increase in the future due primarily to our planned clinical trial activity and continued development of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other income (expense) consists of refundable research and development credits, employee retention credit, forgiveness of the payroll protection loan, valuation of warrants, amortization of debt issuance costs, change in fair value of the convertible note and interest expense on the placement of the $1 million unsecured promissory note in January 2021. During fiscal 2022, other income (expense) increased by $1,508,541, or 734%, compared to fiscal 2021. The increase was primarily related to an increase of $1,250,000 attributable to the change in fair value of the convertible note, an increase of $229,813 attributable to the employee retention credit, an increase of $184,923 attributable to interest expense offset by a net decrease of $156,195 of other income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2023, we had total assets of $5.7 million and working capital of $361 thousand. As of March 31, 2023, our liquidity included $1.8 million of cash and cash equivalents, which gives effect to our receipt of $4.35 million of proceeds from our placement of unsecured convertible promissory notes in September 2022. As of the date of this prospectus, our projected working capital needs consist of funds with which to further clinical trials and product development, research and development, clinical manufacturing as well as for other general corporate purposes, including general and administrative expenses. See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believe that net proceeds of this offering, along with our cash on hand as of the date of this prospectus, will be sufficient to cover our proposed plan of operations over, at least, the 12 months following this offering, including dosing in the proposed Phase 1b clinical trial for ATR-12 and the initial enrollment in the proposed Phase 1b clinical trial for ATR-04. However, as of the date of this prospectus, we believe that we will need additional capital beyond the next 12 months, and there can be no assurance we will not need additional capital sooner. In addition, we believe that we will need additional capital to obtain marketing approval for ATR-12 and ATR-04, assuming such approval can be obtained at all. We intend to seek additional funds through various financing sources, including the sale of our equity and debt securities, licensing fees for our technology and joint ventures with industry partners. In addition, 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648"/>
        <w:spacing w:after="0" w:line="270"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report of our independent registered public accounting firm for the three months ended March 31, 2023 states that due to our accumulated deficit, recurring and negative cash flow from operations there is substantial doubt about our ability to continue as a going concern. Our financial statements, in Note 1, include disclosure with respect to a substantial doubt about our ability to continue as a going concern and the report of our independent auditor includes an explanatory paragraph with respect to that substantial doubt.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Material contractual obligations arising in the normal course of business primarily consist of operating leases. See Note 15 to our audited financial statements for future minimum payments under non-cancelable operating leases with initial or remaining terms in excess of one year during over the next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21"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86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(1,209,347)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(2,358,478)</w:t>
            </w: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(82,834)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(93,392)</w:t>
            </w: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(367,080)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(1,659,261)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(2,450,360)</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During the first three months of fiscal 2023, operating activities used $1.2 million of cash primarily driven by our net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offset by non-cash items of $1.3 million. During the comparable period of fiscal 2022, operating activities used $2.4 million of cash primarily driven by our net loss of $2.3 million and non-cash items of $0.1 million.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first three months of fiscal 2023, investing activities used $0.083 million of cash primarily driven by $0.069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trademark and patent costs and $0.014 million for the purchase of furniture and equipment. During the comparable period of fiscal 2022, investing activities used $0.093 million of cash primarily driven by $0.063 million of trademark and patent costs and $0.030 million for the purchase of furniture and equipment.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first three months of fiscal 2023, financing activities used $0.367 million in cash driven by $0.367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offering costs. During the comparable period of fiscal 2022, financing activities provided $0.002 million in cash primarily driven by the proceeds from the exercise of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660"/>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8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(8,349,469)</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(8,067,359)</w:t>
            </w: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(336,761)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(652,275)</w:t>
            </w: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4,134,624</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992,862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(4,551,606)</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(7,726,772)</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During the year ended December 31, 2022, operating activities used $8.3 million of cash primarily driven by our net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$10.7 million offset by non-cash items of $2.4 million. During the year ended December 31, 2021, operating activities used $8.1 million of cash primarily driven by our net loss of $8.9 million offset by non-cash items of $0.8 million.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year ended December 31, 2022, investing activities used $0.336 million of cash primarily driven by $0.308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trademark and patent costs and $0.028 million for the purchase of furniture and equipment. During the year ended December 31, 2021, investing activities used $0.652 million of cash primarily driven by $0.206 million of trademark and patent costs and $0.446 million for the purchase of furniture and equipment.</w:t>
      </w:r>
    </w:p>
    <w:p>
      <w:pPr>
        <w:sectPr>
          <w:pgSz w:w="11900" w:h="16838" w:orient="portrait"/>
          <w:cols w:equalWidth="0" w:num="1">
            <w:col w:w="11240"/>
          </w:cols>
          <w:pgMar w:left="320" w:top="665" w:right="339" w:bottom="0" w:gutter="0" w:footer="0" w:header="0"/>
        </w:sectPr>
      </w:pPr>
    </w:p>
    <w:bookmarkStart w:id="55" w:name="page56"/>
    <w:bookmarkEnd w:id="55"/>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year ended December 31, 2022, financing activities provided $4.1 million in cash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a $4.4 million convertible promissory note offset by $0.3 million of deferred offering costs. During the year ended December 31, 2021, financing activities provided $0.993 million in cash primarily driven by the issuance of a $1 million convertible promissory note.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prepaid/accrued research and development expenses, share-based compensation and fair value of convertible promissory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audited financial statements included elsewhere in this prospectus, we believe the following accounting policies are the most critical to the judgments and estimates used in the preparation of our financial statements.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U.S.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preparation of our financial statements for the years ended December 31, 2022 and 2021, we and our independent registered public accounting firm identified a material weakness as it relates to a lack of adequate segregation of accounting functions and the appropriate accounting for certain warrants in 2021 that were issued in connection with our previously issued but no longer outstanding debt instruments. We are in the process of implementing measures designed to improve our internal control over financial reporting and remediate this material weakness. We intend to increase staffing within our accounting infrastructure sufficient to facilitate proper segregation of accounting functions and to enable appropriate review of our internally prepared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discussed in Note 2 to our audited financial statements included elsewhere in this registration statement, under Accounting Standards Codification, or ASC, 606, Revenue from Contracts with Customers, an entity recognizes revenue when its customer obtains control of promised goods or services, in an amount that reflects the consideration which the entity expects to receive in exchange for those goods or services.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ind w:firstLine="648"/>
        <w:spacing w:after="0" w:line="270" w:lineRule="auto"/>
        <w:rPr>
          <w:sz w:val="20"/>
          <w:szCs w:val="20"/>
          <w:color w:val="auto"/>
        </w:rPr>
      </w:pPr>
      <w:r>
        <w:rPr>
          <w:rFonts w:ascii="Arial" w:cs="Arial" w:eastAsia="Arial" w:hAnsi="Arial"/>
          <w:sz w:val="17"/>
          <w:szCs w:val="17"/>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each reporting date, we calculate the measure of progress for the performance obligations transferred over time. The calculation generally uses an input measure based on costs incurred to date relative to estimated total costs to complete the transfer of the performance obligation.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development of our product candidates. We expense research and development costs as incurred.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accrue an expense for preclinical studies and clinical trial activities performed by our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make estimates of our prepaid/accrued expenses as of each balance sheet date in our financial statements based upon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compensation expense for all share-based awards based on the estimated fair value of the share-based awards on the grant date. We use the Black-Scholes option pricing model to value our share-based awards. We recognize compensation expense on a straight-line basis over the requisite service period, which is generally the vesting period of the award. We have not issued awards for which vesting is subject to market or performance conditions.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Black-Scholes option-pricing model requires the use of subjective assumptions that include the expected stock price volatility and the fair value of the underlying common stock on the date of grant. See Note 10 to our audited financial statements included elsewhere in this prospectus for information concerning certain of the specific assumptions we used in applying the Black-Scholes option pricing model to determine the estimated fair value of our awards granted.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Estimating the Fair Value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required to estimate the fair value of the common stock underlying our share-based awards when performing the fair value calculations using the Black-Scholes option pricing model. Because our common stock is not currently publicly traded, the fair value of the common stock underlying our stock options has been approved on each grant date by our Board, with input from management.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third-party valuations of our common stocks were performed using methodologies, approaches and assumptions consistent with the American Institute of Certified Public Accountants, Audit and Accounting Practice Aid Series: Valuation of Privately Held Company Equity Securities Issued as Compensation. In addition, our Board considered various objective and subjective factors to estimate the estimated fair value of our common stock, including:</w:t>
      </w:r>
    </w:p>
    <w:p>
      <w:pPr>
        <w:spacing w:after="0" w:line="187" w:lineRule="exact"/>
        <w:rPr>
          <w:sz w:val="20"/>
          <w:szCs w:val="20"/>
          <w:color w:val="auto"/>
        </w:rPr>
      </w:pPr>
    </w:p>
    <w:p>
      <w:pPr>
        <w:ind w:left="980" w:hanging="324"/>
        <w:spacing w:after="0" w:line="25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estimated value of each security both outstanding and anticipated;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anticipated capital structure, which will directly impact the value of the currently outstanding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results of operations and financial 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status of our research and development efforts;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liquidity of our common stock as a private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and global economic conditions;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IPO, or a sale of our company, given prevailing market conditions; and</w:t>
      </w: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value and volatility of comparable companies.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determining the estimated fair value of our common stock, our Board considered the subjective factors discussed above in conjunction with the most recent valuations of our common stock that were prepared by an independent third party. An independent valuation specialist was utilized by our Board when determining the estimated fair value of common stock for the awards granted from October 2017 through December 2021. Our Board, relying on these third-party valuations, approved valuations of our common stock of $3.39 per share as of October 2017, $6.58 per share as of April 2019, $12.09 per share as of September 2020 and $11.05 per share as of December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Estimating the Fair Value of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a Black-Scholes method to value our outstanding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We estimate the volatility of our common stock based on market participant assumptions and matches the volatility used to value our stock options. The risk-free interest rate is based on the U.S. Treasury zero-coupon yield curve on the grant date for a maturity similar to the expected remaining life of the warrants. The expected life of our outstanding warrants is assumed to be equivalent to their remaining contractual term. The dividend rate is based on the historical rate, which the Company anticipates to remain at zero.</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 to our audited financial statements found elsewhere in this prospectus for a description of recent accounting pronouncements applicable to our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Arial" w:cs="Arial" w:eastAsia="Arial" w:hAnsi="Arial"/>
          <w:sz w:val="17"/>
          <w:szCs w:val="17"/>
          <w:i w:val="1"/>
          <w:iCs w:val="1"/>
          <w:color w:val="auto"/>
        </w:rPr>
        <w:t>Staphylococcus epidermidis, or S. epidermidis,</w:t>
      </w:r>
      <w:r>
        <w:rPr>
          <w:rFonts w:ascii="Arial" w:cs="Arial" w:eastAsia="Arial" w:hAnsi="Arial"/>
          <w:sz w:val="17"/>
          <w:szCs w:val="17"/>
          <w:color w:val="auto"/>
        </w:rPr>
        <w:t xml:space="preserve">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pioneer in genetically engineering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product candidates, including:</w:t>
      </w:r>
    </w:p>
    <w:p>
      <w:pPr>
        <w:spacing w:after="0" w:line="180" w:lineRule="exact"/>
        <w:rPr>
          <w:sz w:val="20"/>
          <w:szCs w:val="20"/>
          <w:color w:val="auto"/>
        </w:rPr>
      </w:pPr>
    </w:p>
    <w:p>
      <w:pPr>
        <w:jc w:val="both"/>
        <w:ind w:left="980" w:hanging="324"/>
        <w:spacing w:after="0" w:line="285"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ATR-12, </w:t>
      </w:r>
      <w:r>
        <w:rPr>
          <w:rFonts w:ascii="Arial" w:cs="Arial" w:eastAsia="Arial" w:hAnsi="Arial"/>
          <w:sz w:val="16"/>
          <w:szCs w:val="16"/>
          <w:color w:val="auto"/>
        </w:rPr>
        <w:t>a genetically modified strain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 epidermidis</w:t>
      </w:r>
      <w:r>
        <w:rPr>
          <w:rFonts w:ascii="Arial" w:cs="Arial" w:eastAsia="Arial" w:hAnsi="Arial"/>
          <w:sz w:val="16"/>
          <w:szCs w:val="16"/>
          <w:b w:val="1"/>
          <w:bCs w:val="1"/>
          <w:color w:val="auto"/>
        </w:rPr>
        <w:t xml:space="preserve"> </w:t>
      </w:r>
      <w:r>
        <w:rPr>
          <w:rFonts w:ascii="Arial" w:cs="Arial" w:eastAsia="Arial" w:hAnsi="Arial"/>
          <w:sz w:val="16"/>
          <w:szCs w:val="16"/>
          <w:color w:val="auto"/>
        </w:rPr>
        <w:t>for treating the orphan disease, Netherton syndrome, a chronic and sometimes fatal</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of the skin estimated to affect approximately one in every 200,000, but its prevalence may be underestimated due to misdiagnosis caused by similarities to other skin diseases. We received Pediatric Rare Disease Designation for ATR-12 by the FDA in 2019. In‌ December 2022, we submitted an investigational new drug application, or IND, for a Phase 1b‌ clinical trial of ATR-12 in Netherton syndrome‌, and on January 27, 2023 we received notification from the FDA that the “study may proceed” with respect to the proposed Phase 1b clinical trial. We expect to commence our Phase 1b‌ clinical trial in the first half of 2023 and report initial results in the first half of 2024.</w:t>
      </w:r>
    </w:p>
    <w:p>
      <w:pPr>
        <w:spacing w:after="0" w:line="3" w:lineRule="exact"/>
        <w:rPr>
          <w:rFonts w:ascii="Arial" w:cs="Arial" w:eastAsia="Arial" w:hAnsi="Arial"/>
          <w:sz w:val="16"/>
          <w:szCs w:val="16"/>
          <w:color w:val="auto"/>
        </w:rPr>
      </w:pPr>
    </w:p>
    <w:p>
      <w:pPr>
        <w:jc w:val="both"/>
        <w:ind w:left="980" w:hanging="324"/>
        <w:spacing w:after="0" w:line="250"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ATR-04, </w:t>
      </w:r>
      <w:r>
        <w:rPr>
          <w:rFonts w:ascii="Arial" w:cs="Arial" w:eastAsia="Arial" w:hAnsi="Arial"/>
          <w:sz w:val="18"/>
          <w:szCs w:val="18"/>
          <w:color w:val="auto"/>
        </w:rPr>
        <w:t>a genetically modified strain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 epidermidis</w:t>
      </w:r>
      <w:r>
        <w:rPr>
          <w:rFonts w:ascii="Arial" w:cs="Arial" w:eastAsia="Arial" w:hAnsi="Arial"/>
          <w:sz w:val="18"/>
          <w:szCs w:val="18"/>
          <w:b w:val="1"/>
          <w:bCs w:val="1"/>
          <w:color w:val="auto"/>
        </w:rPr>
        <w:t xml:space="preserve"> </w:t>
      </w:r>
      <w:r>
        <w:rPr>
          <w:rFonts w:ascii="Arial" w:cs="Arial" w:eastAsia="Arial" w:hAnsi="Arial"/>
          <w:sz w:val="18"/>
          <w:szCs w:val="18"/>
          <w:color w:val="auto"/>
        </w:rPr>
        <w:t>for treating the papulopustular rash experienced by cancer patients undergoing</w:t>
      </w:r>
      <w:r>
        <w:rPr>
          <w:rFonts w:ascii="Arial" w:cs="Arial" w:eastAsia="Arial" w:hAnsi="Arial"/>
          <w:sz w:val="18"/>
          <w:szCs w:val="18"/>
          <w:b w:val="1"/>
          <w:bCs w:val="1"/>
          <w:color w:val="auto"/>
        </w:rPr>
        <w:t xml:space="preserve"> </w:t>
      </w:r>
      <w:r>
        <w:rPr>
          <w:rFonts w:ascii="Arial" w:cs="Arial" w:eastAsia="Arial" w:hAnsi="Arial"/>
          <w:sz w:val="18"/>
          <w:szCs w:val="18"/>
          <w:color w:val="auto"/>
        </w:rPr>
        <w:t>epidermal growth factor receptor inhibitor, or EGFRi, targeted therapy. We intend to submit an IND for a Phase 1b clinical trial in certain cancer patients undergoing EGFRi, targeted therapy by the end of 2023. Subject to FDA approval of our IND, we expect to commence our Phase 1b clinical trial by early 2024 with initial results expected in late 2024.</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ATR-01, </w:t>
      </w:r>
      <w:r>
        <w:rPr>
          <w:rFonts w:ascii="Arial" w:cs="Arial" w:eastAsia="Arial" w:hAnsi="Arial"/>
          <w:sz w:val="18"/>
          <w:szCs w:val="18"/>
          <w:color w:val="auto"/>
        </w:rPr>
        <w:t>an engineered recombinant human filaggrin protein for treating ichthyosis vulgaris, a chronic, xerotic, scaly skin disease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incidence and prevalence of 1 in 250, which suggests a total patient population of 1.3 million in the United States. We are planning to complete lead optimization and IND-enabling studies in 2023 to support an IND filing in late 2024.</w:t>
      </w:r>
    </w:p>
    <w:p>
      <w:pPr>
        <w:spacing w:after="0" w:line="1"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Two separate strains of microbes being investigated and developed by us and Bayer Consumer Care AG, the consumer products division of Bayer AG, the international life science company. We entered into a Joint Development Agreement, or JDA, with Bayer in December 2019. Under the terms of the JDA, we are responsible for testing our library of microbial strains and their products for key preclinical properties which we intend to develop as potential over-the-counter cosmetic products. After screening through hundreds of strains, we and Bayer have selected two particular strains to move forward. Bayer holds the exclusive option to license the patent rights to these strains. In December 2020, Bayer purchased $8 million of our Series B preferred stock.</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also have established partnerships with teams from Carnegie Mellon University and the Fred Hutchinson Cancer Center, or Fred Hutch, two of the premier academic centers in the United States. Our collaboration with the Carnegie Mellon based team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648"/>
        <w:spacing w:after="0" w:line="257" w:lineRule="auto"/>
        <w:rPr>
          <w:sz w:val="20"/>
          <w:szCs w:val="20"/>
          <w:color w:val="auto"/>
        </w:rPr>
      </w:pPr>
      <w:r>
        <w:rPr>
          <w:rFonts w:ascii="Arial" w:cs="Arial" w:eastAsia="Arial" w:hAnsi="Arial"/>
          <w:sz w:val="18"/>
          <w:szCs w:val="18"/>
          <w:color w:val="auto"/>
        </w:rPr>
        <w:t>We hold an exclusive, worldwide license from Fred Hutch regarding the use of its patented SyMPL technologies for all fields of genetic engineering, including to discover, develop and commercialize engineered microbial therapies and microbial-derived peptides and proteins for skin diseases. We are utilizing our licensed patent rights to build plasmids that in order to make genetic transformations that have never been previously achieved. Our collaboration with Fred Hutch is led by Dr. Christopher Johnston, an expert in microbial engineering, and the innovator behind the SyMPL technology.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125730</wp:posOffset>
            </wp:positionV>
            <wp:extent cx="6429375" cy="3608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937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Business Strategies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spacing w:after="0" w:line="170" w:lineRule="exact"/>
        <w:rPr>
          <w:sz w:val="20"/>
          <w:szCs w:val="20"/>
          <w:color w:val="auto"/>
        </w:rPr>
      </w:pPr>
    </w:p>
    <w:p>
      <w:pPr>
        <w:jc w:val="both"/>
        <w:ind w:left="980" w:hanging="324"/>
        <w:spacing w:after="0" w:line="30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a sustainable precision dermatology company. </w:t>
      </w:r>
      <w:r>
        <w:rPr>
          <w:rFonts w:ascii="Arial" w:cs="Arial" w:eastAsia="Arial" w:hAnsi="Arial"/>
          <w:sz w:val="16"/>
          <w:szCs w:val="16"/>
          <w:color w:val="auto"/>
        </w:rPr>
        <w:t>Our goal is to build a leading precision dermatology company with a sustainable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pipeline of 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if not all, genetically engineered product candidates we develop will be eligible for patent protection.</w:t>
      </w:r>
    </w:p>
    <w:p>
      <w:pPr>
        <w:spacing w:after="0" w:line="157"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our lead product candidates, ATR-12 and ATR-04, through clinical trials. </w:t>
      </w:r>
      <w:r>
        <w:rPr>
          <w:rFonts w:ascii="Arial" w:cs="Arial" w:eastAsia="Arial" w:hAnsi="Arial"/>
          <w:sz w:val="18"/>
          <w:szCs w:val="18"/>
          <w:color w:val="auto"/>
        </w:rPr>
        <w:t>We are currently planning to begin two clinical‌ trials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next 12 months, including a Phase 1b‌ trial of our ATR-12 in Netherton syndrome patients and a Phase 1b‌ trial of our ATR-04 in certain cancer patients undergoing EGFRi therapy. We have successfully filed an IND for ATR-12 and expect to file an IND for ATR-04 by the end of 2023.</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Broaden our platform by selectively exploring strategic partnerships that maximize the potential of our precision dermatology programs.</w:t>
      </w:r>
    </w:p>
    <w:p>
      <w:pPr>
        <w:spacing w:after="0" w:line="57" w:lineRule="exact"/>
        <w:rPr>
          <w:rFonts w:ascii="Arial" w:cs="Arial" w:eastAsia="Arial" w:hAnsi="Arial"/>
          <w:sz w:val="15"/>
          <w:szCs w:val="15"/>
          <w:color w:val="auto"/>
        </w:rPr>
      </w:pPr>
    </w:p>
    <w:p>
      <w:pPr>
        <w:jc w:val="both"/>
        <w:ind w:left="980"/>
        <w:spacing w:after="0" w:line="269" w:lineRule="auto"/>
        <w:rPr>
          <w:rFonts w:ascii="Arial" w:cs="Arial" w:eastAsia="Arial" w:hAnsi="Arial"/>
          <w:sz w:val="15"/>
          <w:szCs w:val="15"/>
          <w:color w:val="auto"/>
        </w:rPr>
      </w:pPr>
      <w:r>
        <w:rPr>
          <w:rFonts w:ascii="Arial" w:cs="Arial" w:eastAsia="Arial" w:hAnsi="Arial"/>
          <w:sz w:val="17"/>
          <w:szCs w:val="17"/>
          <w:color w:val="auto"/>
        </w:rPr>
        <w:t>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w:t>
      </w:r>
    </w:p>
    <w:p>
      <w:pPr>
        <w:spacing w:after="0" w:line="180" w:lineRule="exact"/>
        <w:rPr>
          <w:rFonts w:ascii="Arial" w:cs="Arial" w:eastAsia="Arial" w:hAnsi="Arial"/>
          <w:sz w:val="15"/>
          <w:szCs w:val="15"/>
          <w:color w:val="auto"/>
        </w:rPr>
      </w:pPr>
    </w:p>
    <w:p>
      <w:pPr>
        <w:jc w:val="both"/>
        <w:ind w:left="980" w:hanging="324"/>
        <w:spacing w:after="0" w:line="270"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academic partnerships. </w:t>
      </w:r>
      <w:r>
        <w:rPr>
          <w:rFonts w:ascii="Arial" w:cs="Arial" w:eastAsia="Arial" w:hAnsi="Arial"/>
          <w:sz w:val="17"/>
          <w:szCs w:val="17"/>
          <w:color w:val="auto"/>
        </w:rPr>
        <w:t>We currently have partnerships with investigators at the Fred Hutchinson Cancer Center, Yale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University, Jackson Laboratory for Genomic Medicine, and Carnegie Mellon University. In January 2020, we entered into a clinical trial agreement with Yale University to evaluate the microbiome of approximately ten patients undergoing EGFR inhibitor therapy resulting in papulopustular rash. This is an observational trial meant to gain understanding of the microbial skin environment on these patients. Due to challenges with sample preservation, the commencement of patient enrollment was postponed and is planned to restart by late 2023. The estimated cost of the trial is expected to be less than $100,000, which will be paid by us. We have an ongoing scientific advisory board contract with Dr. Julia Oh of the Jackson Laboratories and have historically worked with Jackson Laboratories through sponsored research agreements for mouse experiments. We expect to leverage these partnerships and potentially expand them or form other academic partnerships to bolster our engineering platforms and expand our research and development pipeline.</w:t>
      </w:r>
    </w:p>
    <w:p>
      <w:pPr>
        <w:spacing w:after="0" w:line="180"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Management team</w:t>
      </w:r>
      <w:r>
        <w:rPr>
          <w:rFonts w:ascii="Arial" w:cs="Arial" w:eastAsia="Arial" w:hAnsi="Arial"/>
          <w:sz w:val="16"/>
          <w:szCs w:val="16"/>
          <w:color w:val="auto"/>
        </w:rPr>
        <w:t>. We are led by Francisco D. Salva, our chief executive officer, and Travis Whitfill, our co-founder, who have more than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of combined experience in the management of biotechnology companies and healthcare investing. Mr. Salva was previously a co-</w:t>
      </w:r>
    </w:p>
    <w:p>
      <w:pPr>
        <w:sectPr>
          <w:pgSz w:w="11900" w:h="16838" w:orient="portrait"/>
          <w:cols w:equalWidth="0" w:num="1">
            <w:col w:w="11240"/>
          </w:cols>
          <w:pgMar w:left="320" w:top="665" w:right="339" w:bottom="0" w:gutter="0" w:footer="0" w:header="0"/>
        </w:sectPr>
      </w:pPr>
    </w:p>
    <w:bookmarkStart w:id="61" w:name="page62"/>
    <w:bookmarkEnd w:id="61"/>
    <w:p>
      <w:pPr>
        <w:jc w:val="both"/>
        <w:ind w:left="980"/>
        <w:spacing w:after="0" w:line="273" w:lineRule="auto"/>
        <w:rPr>
          <w:sz w:val="20"/>
          <w:szCs w:val="20"/>
          <w:color w:val="auto"/>
        </w:rPr>
      </w:pPr>
      <w:r>
        <w:rPr>
          <w:rFonts w:ascii="Arial" w:cs="Arial" w:eastAsia="Arial" w:hAnsi="Arial"/>
          <w:sz w:val="17"/>
          <w:szCs w:val="17"/>
          <w:color w:val="auto"/>
        </w:rPr>
        <w:t>founder of Acerta Pharma, which was sold to AstraZeneca for approximately $6.3 billion in a staged acquisition beginning in 2016. He also worked on the turnaround of Pharmacyclics, which subsequently sold to Abbvie for approximately $21 billion in 2015. Before that, Mr. Salva spent almost a decade in life sciences venture capital. Mr. Whitfill served as associate research scientist and assistant professor adjunct at Yale University with appointments in the Departments of Pediatrics and Emergency Medicine. He has led numerous grant-funded projects, holds nearly a dozen patents and has co-authored over 50 publications. Our board of directors, or Board, is comprised of renowned group of senior executives, scientists and investors in the biotechnology industry</w:t>
      </w:r>
      <w:r>
        <w:rPr>
          <w:rFonts w:ascii="Arial" w:cs="Arial" w:eastAsia="Arial" w:hAnsi="Arial"/>
          <w:sz w:val="17"/>
          <w:szCs w:val="17"/>
          <w:b w:val="1"/>
          <w:bCs w:val="1"/>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Microbial Library and Microbial Drug Delivery Platform</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Commensal microorganisms reside on either the surface of the body or in the mucosa without harming human health. They act on the host’s immune system to induce protective responses that prevent colonization and invasion by infectious pathogens, and thereby play a crucial role in maintaining human health across a number of organ systems, particularly in the skin. Diverse communities of microorganisms populate the skin, and a square centimeter can contain up to a billion microorganisms. These diverse communities of bacteria, fungi, mites and viruses can provide protection against disease and form dynamic, yet distinct niches on the skin. Together, they make up the skin microbiome.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both"/>
        <w:ind w:firstLine="648"/>
        <w:spacing w:after="0" w:line="254" w:lineRule="auto"/>
        <w:rPr>
          <w:sz w:val="20"/>
          <w:szCs w:val="20"/>
          <w:color w:val="auto"/>
        </w:rPr>
      </w:pPr>
      <w:r>
        <w:rPr>
          <w:rFonts w:ascii="Arial" w:cs="Arial" w:eastAsia="Arial" w:hAnsi="Arial"/>
          <w:sz w:val="18"/>
          <w:szCs w:val="18"/>
          <w:color w:val="auto"/>
        </w:rPr>
        <w:t xml:space="preserve">Many genetically driven human diseases are systemically or partially related to the dysfunction of specific proteins that are missing or functionally inert due to a mutation. Since approximately 1982, the biopharmaceutical industry has been genetically engineering recombinant proteins in bacterial microorganisms for purposes providing therapies that mimic or support the body’s normally functioning proteins and peptides. For decades, the vast majority of genetic engineering has been limited to primary </w:t>
      </w:r>
      <w:r>
        <w:rPr>
          <w:rFonts w:ascii="Arial" w:cs="Arial" w:eastAsia="Arial" w:hAnsi="Arial"/>
          <w:sz w:val="18"/>
          <w:szCs w:val="18"/>
          <w:i w:val="1"/>
          <w:iCs w:val="1"/>
          <w:color w:val="auto"/>
        </w:rPr>
        <w:t>E. coli</w:t>
      </w:r>
      <w:r>
        <w:rPr>
          <w:rFonts w:ascii="Arial" w:cs="Arial" w:eastAsia="Arial" w:hAnsi="Arial"/>
          <w:sz w:val="18"/>
          <w:szCs w:val="18"/>
          <w:color w:val="auto"/>
        </w:rPr>
        <w:t xml:space="preserve"> and a handful of other bacterial species, many of which can become pathogenic, inducing infection. In contrast, we have chosen to focus on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because of its beneficial effects as a commensal, naturally occurring microbe on the skin. Our goal is to leverage our platform and internal microbial library of over 60 bacterial species to engineer and deliver commensal skin bacteria directly to the target through the stratum corneum of the skin. At these deeper levels in the skin, engineered microbes can produce the missing or inert proteins and thereby resolve the underlying disease cause.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 epidermidis and Our Proprietary Microbial Library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 epidermidis </w:t>
      </w:r>
      <w:r>
        <w:rPr>
          <w:rFonts w:ascii="Arial" w:cs="Arial" w:eastAsia="Arial" w:hAnsi="Arial"/>
          <w:sz w:val="16"/>
          <w:szCs w:val="16"/>
          <w:color w:val="auto"/>
        </w:rPr>
        <w:t>is a strong therapeutic candidate species due to a number of well-described properties in the skin.</w:t>
      </w:r>
      <w:r>
        <w:rPr>
          <w:rFonts w:ascii="Arial" w:cs="Arial" w:eastAsia="Arial" w:hAnsi="Arial"/>
          <w:sz w:val="16"/>
          <w:szCs w:val="16"/>
          <w:i w:val="1"/>
          <w:iCs w:val="1"/>
          <w:color w:val="auto"/>
        </w:rPr>
        <w:t xml:space="preserve"> S. epidermidis </w:t>
      </w:r>
      <w:r>
        <w:rPr>
          <w:rFonts w:ascii="Arial" w:cs="Arial" w:eastAsia="Arial" w:hAnsi="Arial"/>
          <w:sz w:val="16"/>
          <w:szCs w:val="16"/>
          <w:color w:val="auto"/>
        </w:rPr>
        <w:t>is a gram-positive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bacterium that is ubiquitous in the human skin and mucosal flora. As one of the earliest colonizers of the skin,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plays an important role in cutaneous immunity and maintaining microbial community homeostasis.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is known to have a beneficial relationship with its host as a skin commensal. The species has shown inhibition of the pathogenic strain, </w:t>
      </w:r>
      <w:r>
        <w:rPr>
          <w:rFonts w:ascii="Arial" w:cs="Arial" w:eastAsia="Arial" w:hAnsi="Arial"/>
          <w:sz w:val="16"/>
          <w:szCs w:val="16"/>
          <w:i w:val="1"/>
          <w:iCs w:val="1"/>
          <w:color w:val="auto"/>
        </w:rPr>
        <w:t>Staphylococcus aureus, or S. aureus,</w:t>
      </w:r>
      <w:r>
        <w:rPr>
          <w:rFonts w:ascii="Arial" w:cs="Arial" w:eastAsia="Arial" w:hAnsi="Arial"/>
          <w:sz w:val="16"/>
          <w:szCs w:val="16"/>
          <w:color w:val="auto"/>
        </w:rPr>
        <w:t xml:space="preserve"> as well as the strain </w:t>
      </w:r>
      <w:r>
        <w:rPr>
          <w:rFonts w:ascii="Arial" w:cs="Arial" w:eastAsia="Arial" w:hAnsi="Arial"/>
          <w:sz w:val="16"/>
          <w:szCs w:val="16"/>
          <w:i w:val="1"/>
          <w:iCs w:val="1"/>
          <w:color w:val="auto"/>
        </w:rPr>
        <w:t>Propionibacterium acnes</w:t>
      </w:r>
      <w:r>
        <w:rPr>
          <w:rFonts w:ascii="Arial" w:cs="Arial" w:eastAsia="Arial" w:hAnsi="Arial"/>
          <w:sz w:val="16"/>
          <w:szCs w:val="16"/>
          <w:color w:val="auto"/>
        </w:rPr>
        <w:t xml:space="preserve">, or </w:t>
      </w:r>
      <w:r>
        <w:rPr>
          <w:rFonts w:ascii="Arial" w:cs="Arial" w:eastAsia="Arial" w:hAnsi="Arial"/>
          <w:sz w:val="16"/>
          <w:szCs w:val="16"/>
          <w:i w:val="1"/>
          <w:iCs w:val="1"/>
          <w:color w:val="auto"/>
        </w:rPr>
        <w:t>P. acnes</w:t>
      </w:r>
      <w:r>
        <w:rPr>
          <w:rFonts w:ascii="Arial" w:cs="Arial" w:eastAsia="Arial" w:hAnsi="Arial"/>
          <w:sz w:val="16"/>
          <w:szCs w:val="16"/>
          <w:color w:val="auto"/>
        </w:rPr>
        <w:t xml:space="preserve">.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induces keratinocytes to produce antimicrobial peptides and produces non-inflammatory T cell accumulation of both CD4+ and CD8+ T cells via immune cell signaling. The T cell responses induce re-epithelization of the skin after injury, accelerating repair and wound closure. For these reasons, we believe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offers several advantages as a vector for topical delivery of therapeutic proteins.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their 2019 study, Stacy and Belkaid, world-leading experts in the skin microbiome, described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as “a ‘poster child’ of the skin microbiota to illustrate the remarkable diversity of functions a microbe can exert on skin physiology and health.” We believe that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has enormous strain diversity that can be exploited for therapeutic purposes. In the 2020 Oh Study, Julia Oh’s lab reported that 1,482 unique strains of </w:t>
      </w:r>
      <w:r>
        <w:rPr>
          <w:rFonts w:ascii="Arial" w:cs="Arial" w:eastAsia="Arial" w:hAnsi="Arial"/>
          <w:sz w:val="17"/>
          <w:szCs w:val="17"/>
          <w:i w:val="1"/>
          <w:iCs w:val="1"/>
          <w:color w:val="auto"/>
        </w:rPr>
        <w: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epidermidis </w:t>
      </w:r>
      <w:r>
        <w:rPr>
          <w:rFonts w:ascii="Arial" w:cs="Arial" w:eastAsia="Arial" w:hAnsi="Arial"/>
          <w:sz w:val="17"/>
          <w:szCs w:val="17"/>
          <w:color w:val="auto"/>
        </w:rPr>
        <w:t>were present on only five individuals. These strains had not only significant genetic diversity but also large phenotypic diversity.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large inter-strain variation among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can be exploited. To that end, we collected samples from healthy volunteers to develop and characterize our own strain library of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that includes over 900 unique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strains with potential for therapeutic use. We have used this microbial library to screen against selected properties, including antimicrobial peptide secretion,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killing, antibiotic sensitivity, and other therapeutically relevant characteristics. We have also collected other species in our library that includes roughly 60 different skin commensal species that can also be screened for therapeutic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 Representative Species in Azitra Microbial Library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1"/>
              </w:rPr>
              <w:t>Staphylococcus epidermidis</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94"/>
              </w:rPr>
              <w:t>Helicobacter pylori</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8"/>
              </w:rPr>
              <w:t>Streptococcus pneumoniae</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Vibrio cholerae</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2"/>
              </w:rPr>
              <w:t>Escherichia coli</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2"/>
              </w:rPr>
              <w:t>Kelbsiella oxytoca</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9"/>
              </w:rPr>
              <w:t>Enterobacter cloacae</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91"/>
              </w:rPr>
              <w:t>Yersinia enterocolitica</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88"/>
              </w:rPr>
              <w:t>Staphylococcus aureus</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1"/>
              </w:rPr>
              <w:t>Klebsiella pneumoniae</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91"/>
              </w:rPr>
              <w:t>Salmonella oslo</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93"/>
              </w:rPr>
              <w:t>Citrobacter freundii</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5"/>
              </w:rPr>
              <w:t>Bacillus subtilis</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93"/>
              </w:rPr>
              <w:t>Kluyveromyes lactis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90"/>
              </w:rPr>
              <w:t>Deinococcus radiodurans</w:t>
            </w:r>
          </w:p>
        </w:tc>
        <w:tc>
          <w:tcPr>
            <w:tcW w:w="2560" w:type="dxa"/>
            <w:vAlign w:val="bottom"/>
          </w:tcPr>
          <w:p>
            <w:pPr>
              <w:jc w:val="center"/>
              <w:spacing w:after="0"/>
              <w:rPr>
                <w:sz w:val="20"/>
                <w:szCs w:val="20"/>
                <w:color w:val="auto"/>
              </w:rPr>
            </w:pPr>
            <w:r>
              <w:rPr>
                <w:rFonts w:ascii="Arial" w:cs="Arial" w:eastAsia="Arial" w:hAnsi="Arial"/>
                <w:sz w:val="18"/>
                <w:szCs w:val="18"/>
                <w:color w:val="auto"/>
                <w:w w:val="86"/>
              </w:rPr>
              <w:t>Enterobacter aerogenes</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88"/>
              </w:rPr>
              <w:t>Corynebacteria</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95"/>
              </w:rPr>
              <w:t>Kocuria rhizophila</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9"/>
              </w:rPr>
              <w:t>Enterococcus faecalis</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88"/>
              </w:rPr>
              <w:t>Enterobacter cloacae</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87"/>
              </w:rPr>
              <w:t>Saccharomyces cerevisiae</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91"/>
              </w:rPr>
              <w:t>Micrococcus leteus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91"/>
              </w:rPr>
              <w:t>Morazella catarrhalis</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91"/>
              </w:rPr>
              <w:t>Proteus mirabilis</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89"/>
              </w:rPr>
              <w:t>Candida albicans</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2"/>
              </w:rPr>
              <w:t>Moraxella catarrhalis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90"/>
              </w:rPr>
              <w:t>Streptococcus miltis group</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Salmonella Senftenberg</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89"/>
              </w:rPr>
              <w:t>Finegoldia magna</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93"/>
              </w:rPr>
              <w:t>Morganella morganii</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92"/>
              </w:rPr>
              <w:t>Streptococcus mitis/oralis</w:t>
            </w:r>
          </w:p>
        </w:tc>
        <w:tc>
          <w:tcPr>
            <w:tcW w:w="2560" w:type="dxa"/>
            <w:vAlign w:val="bottom"/>
          </w:tcPr>
          <w:p>
            <w:pPr>
              <w:jc w:val="center"/>
              <w:spacing w:after="0"/>
              <w:rPr>
                <w:sz w:val="20"/>
                <w:szCs w:val="20"/>
                <w:color w:val="auto"/>
              </w:rPr>
            </w:pPr>
            <w:r>
              <w:rPr>
                <w:rFonts w:ascii="Arial" w:cs="Arial" w:eastAsia="Arial" w:hAnsi="Arial"/>
                <w:sz w:val="18"/>
                <w:szCs w:val="18"/>
                <w:color w:val="auto"/>
                <w:w w:val="87"/>
              </w:rPr>
              <w:t>Serratia marcescens</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2"/>
              </w:rPr>
              <w:t>Gardnerella vaginalis</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4"/>
              </w:rPr>
              <w:t>Mucor circinelloides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8"/>
              </w:rPr>
              <w:t>Streptococcus pneumoniae</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90"/>
              </w:rPr>
              <w:t>Shigella sonnei</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1"/>
              </w:rPr>
              <w:t>Haemophilus influenzae</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0"/>
              </w:rPr>
              <w:t>Staphylococcus haemolyticus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7"/>
              </w:rPr>
              <w:t>Streptococcus pyogenes</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88"/>
              </w:rPr>
              <w:t>Neisseria gonorrhoeae</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1"/>
              </w:rPr>
              <w:t>Haemophilus parainfluenzae</w:t>
            </w: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0"/>
              </w:rPr>
              <w:t>Staphylococcus haemolyticus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8"/>
              </w:rPr>
              <w:t>Streptomyces ambofaciens</w:t>
            </w:r>
          </w:p>
        </w:tc>
        <w:tc>
          <w:tcPr>
            <w:tcW w:w="2560" w:type="dxa"/>
            <w:vAlign w:val="bottom"/>
          </w:tcPr>
          <w:p>
            <w:pPr>
              <w:jc w:val="center"/>
              <w:spacing w:after="0"/>
              <w:rPr>
                <w:sz w:val="20"/>
                <w:szCs w:val="20"/>
                <w:color w:val="auto"/>
              </w:rPr>
            </w:pPr>
            <w:r>
              <w:rPr>
                <w:rFonts w:ascii="Arial" w:cs="Arial" w:eastAsia="Arial" w:hAnsi="Arial"/>
                <w:sz w:val="18"/>
                <w:szCs w:val="18"/>
                <w:color w:val="auto"/>
                <w:w w:val="90"/>
              </w:rPr>
              <w:t>Enterococcus faecium</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1"/>
              </w:rPr>
              <w:t>Haemophilus parainfluenzae</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91"/>
              </w:rPr>
              <w:t>Staphylococcus hominis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9"/>
              </w:rPr>
              <w:t>Thermoaerobacter marianensis</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Salmonella typhimurium</w:t>
            </w:r>
          </w:p>
        </w:tc>
      </w:tr>
      <w:tr>
        <w:trPr>
          <w:trHeight w:val="216"/>
        </w:trPr>
        <w:tc>
          <w:tcPr>
            <w:tcW w:w="2720" w:type="dxa"/>
            <w:vAlign w:val="bottom"/>
          </w:tcPr>
          <w:p>
            <w:pPr>
              <w:jc w:val="center"/>
              <w:ind w:right="30"/>
              <w:spacing w:after="0"/>
              <w:rPr>
                <w:sz w:val="20"/>
                <w:szCs w:val="20"/>
                <w:color w:val="auto"/>
              </w:rPr>
            </w:pPr>
            <w:r>
              <w:rPr>
                <w:rFonts w:ascii="Arial" w:cs="Arial" w:eastAsia="Arial" w:hAnsi="Arial"/>
                <w:sz w:val="18"/>
                <w:szCs w:val="18"/>
                <w:color w:val="auto"/>
                <w:w w:val="93"/>
              </w:rPr>
              <w:t>Haloarclula marismortui</w:t>
            </w:r>
          </w:p>
        </w:tc>
        <w:tc>
          <w:tcPr>
            <w:tcW w:w="2660" w:type="dxa"/>
            <w:vAlign w:val="bottom"/>
          </w:tcPr>
          <w:p>
            <w:pPr>
              <w:jc w:val="center"/>
              <w:ind w:left="130"/>
              <w:spacing w:after="0"/>
              <w:rPr>
                <w:sz w:val="20"/>
                <w:szCs w:val="20"/>
                <w:color w:val="auto"/>
              </w:rPr>
            </w:pPr>
            <w:r>
              <w:rPr>
                <w:rFonts w:ascii="Arial" w:cs="Arial" w:eastAsia="Arial" w:hAnsi="Arial"/>
                <w:sz w:val="18"/>
                <w:szCs w:val="18"/>
                <w:color w:val="auto"/>
                <w:w w:val="89"/>
              </w:rPr>
              <w:t>Staphylococcus lugdunensis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91"/>
              </w:rPr>
              <w:t>Thermus thermophilus</w:t>
            </w:r>
          </w:p>
        </w:tc>
        <w:tc>
          <w:tcPr>
            <w:tcW w:w="2560" w:type="dxa"/>
            <w:vAlign w:val="bottom"/>
          </w:tcPr>
          <w:p>
            <w:pPr>
              <w:jc w:val="center"/>
              <w:ind w:left="10"/>
              <w:spacing w:after="0"/>
              <w:rPr>
                <w:sz w:val="20"/>
                <w:szCs w:val="20"/>
                <w:color w:val="auto"/>
              </w:rPr>
            </w:pPr>
            <w:r>
              <w:rPr>
                <w:rFonts w:ascii="Arial" w:cs="Arial" w:eastAsia="Arial" w:hAnsi="Arial"/>
                <w:sz w:val="18"/>
                <w:szCs w:val="18"/>
                <w:color w:val="auto"/>
                <w:w w:val="91"/>
              </w:rPr>
              <w:t>Acinetobacter baumannii</w:t>
            </w:r>
          </w:p>
        </w:tc>
      </w:tr>
      <w:tr>
        <w:trPr>
          <w:trHeight w:val="230"/>
        </w:trPr>
        <w:tc>
          <w:tcPr>
            <w:tcW w:w="2720" w:type="dxa"/>
            <w:vAlign w:val="bottom"/>
          </w:tcPr>
          <w:p>
            <w:pPr>
              <w:spacing w:after="0"/>
              <w:rPr>
                <w:sz w:val="20"/>
                <w:szCs w:val="20"/>
                <w:color w:val="auto"/>
              </w:rPr>
            </w:pPr>
          </w:p>
        </w:tc>
        <w:tc>
          <w:tcPr>
            <w:tcW w:w="2660" w:type="dxa"/>
            <w:vAlign w:val="bottom"/>
          </w:tcPr>
          <w:p>
            <w:pPr>
              <w:jc w:val="center"/>
              <w:ind w:left="150"/>
              <w:spacing w:after="0"/>
              <w:rPr>
                <w:sz w:val="20"/>
                <w:szCs w:val="20"/>
                <w:color w:val="auto"/>
              </w:rPr>
            </w:pPr>
            <w:r>
              <w:rPr>
                <w:rFonts w:ascii="Arial" w:cs="Arial" w:eastAsia="Arial" w:hAnsi="Arial"/>
                <w:sz w:val="18"/>
                <w:szCs w:val="18"/>
                <w:color w:val="auto"/>
                <w:w w:val="90"/>
              </w:rPr>
              <w:t>Bacilus sterarothermophilus</w:t>
            </w:r>
          </w:p>
        </w:tc>
        <w:tc>
          <w:tcPr>
            <w:tcW w:w="3300" w:type="dxa"/>
            <w:vAlign w:val="bottom"/>
          </w:tcPr>
          <w:p>
            <w:pPr>
              <w:jc w:val="center"/>
              <w:ind w:left="130"/>
              <w:spacing w:after="0"/>
              <w:rPr>
                <w:sz w:val="20"/>
                <w:szCs w:val="20"/>
                <w:color w:val="auto"/>
              </w:rPr>
            </w:pPr>
            <w:r>
              <w:rPr>
                <w:rFonts w:ascii="Arial" w:cs="Arial" w:eastAsia="Arial" w:hAnsi="Arial"/>
                <w:sz w:val="18"/>
                <w:szCs w:val="18"/>
                <w:color w:val="auto"/>
                <w:w w:val="86"/>
              </w:rPr>
              <w:t>Pseudomonas aeruginosa</w:t>
            </w:r>
          </w:p>
        </w:tc>
        <w:tc>
          <w:tcPr>
            <w:tcW w:w="2560" w:type="dxa"/>
            <w:vAlign w:val="bottom"/>
          </w:tcPr>
          <w:p>
            <w:pPr>
              <w:spacing w:after="0"/>
              <w:rPr>
                <w:sz w:val="20"/>
                <w:szCs w:val="20"/>
                <w:color w:val="auto"/>
              </w:rPr>
            </w:pPr>
          </w:p>
        </w:tc>
      </w:tr>
      <w:tr>
        <w:trPr>
          <w:trHeight w:val="439"/>
        </w:trPr>
        <w:tc>
          <w:tcPr>
            <w:tcW w:w="2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53</w:t>
            </w: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Predictive Analysis of Our Microbial Library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biopharmaceutical industry has seen success in identifying and isolating thousands of bacterial species. Yet only a relatively few such species, believed to be less than 20, have been engineered to produce proteins or peptides with therapeutic potential. We have partnered with Chemia Biosciences, Inc., a research and development group from Carnegie Mellon University. Through our collaboration with Chemia Biosciences, we are able to use their proprietary genomic and peptidomic artificial intelligence and machine learning system, NRPMiner, to develop and confirm natural product predictions of the proteins, peptides and small molecules that are generated by our proprietary bacterial library. These predictions are confirmed via tandem mass spectroscopy or nuclear magnetic resonance. The information is then fed back into the machine learning algorithm to refine the predictions. It can also be compared to existing 2D and 3D protein databases to look for structural homology of our products to existing protein and peptide drugs. We believe our collaboration with the Carnegie Mellon based team provides us with a scalable and modification tolerant way to accelerate therapeutic discoveries within our microbial library.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Delivery of our Microbially Produced Drugs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delivery of genetically engineered proteins to the subcutaneous target sites is hindered by the natural barrier and the defenses of the stratum corneum. This is the skin’s outermost layer which acts as a barrier that prevents unwanted materials from entering the body. To address this challenge, we have developed a proprietary process capable of facilitating protein delivery in a manner that bypasses the normally impenetrable stratum corneum. The strategy utilizes the ability of particular microbes to infiltrate into the deeper layers of the skin. There, the genetically modified microbes act as miniature factories to produce a therapeutic protein or molecule where it is needed.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Our protein delivery capability for treating skin conditions is based on engineering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and other microbes to secrete proteins for drug delivery into the skin. We believe any number of proteins can be engineered and encoded by our bacteria to be produced and delivered to the skin to treat a variety of skin conditions. We have also added key proprietary features in its platform to facilitate protein delivery. A key feature of this system is that it bypasses the normally impenetrable skin barrier, a problem of topical protein delivery. The skin barrier, composed of the stratum corneum, is sealed by enucleated keratinocytes and formed by numerous structural, physical, and biochemical properties. Other transdermal delivery challenges arise due to susceptibility of protein to enzymatic digestion by proteases and solubility and diffusion impediments due the hydrophobic surface and the layers of linked corneocytes comprising the stratum corneum. We address this issue by leveraging the natural homing of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to layers below the stratum corneum. In preclinical studies, we have shown that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homes to layers below the stratum corneum and delivers proteins into the deeper epidermis.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expand upon our recombinant protein construction capabilities, we have acquired an exclusive license to proprietary technology that disguises our genetically engineered DNA sequences to enable the production of proteins in previously intractable bacterial species. The technology from the Fred Hutchinson Cancer Center or Fred Hutch, expands the universe of bacterial species that can be genetically modified. It is based upon a restriction modification system-silent SyMPL toolset. The SyMPL technology platform makes human-made DNA invisible to the bacteria’s defenses. In theory, the method can be applied to any type of bacteria. Our current product candidates do not incorporate the SyMPL technology platform, but we expect that some or all of our future product candidates will do so.</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Virtually all strains of naturally occurring bacteria have defense mechanisms called restriction modification systems. The four types of restriction modification systems recognize and defend against insertion of foreign DNA used to code recombinant proteins. Functional genetic engineering of 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epidermidis </w:t>
      </w:r>
      <w:r>
        <w:rPr>
          <w:rFonts w:ascii="Arial" w:cs="Arial" w:eastAsia="Arial" w:hAnsi="Arial"/>
          <w:sz w:val="17"/>
          <w:szCs w:val="17"/>
          <w:color w:val="auto"/>
        </w:rPr>
        <w:t>(as well as</w:t>
      </w:r>
      <w:r>
        <w:rPr>
          <w:rFonts w:ascii="Arial" w:cs="Arial" w:eastAsia="Arial" w:hAnsi="Arial"/>
          <w:sz w:val="17"/>
          <w:szCs w:val="17"/>
          <w:i w:val="1"/>
          <w:iCs w:val="1"/>
          <w:color w:val="auto"/>
        </w:rPr>
        <w:t xml:space="preserve"> S. aureus</w:t>
      </w:r>
      <w:r>
        <w:rPr>
          <w:rFonts w:ascii="Arial" w:cs="Arial" w:eastAsia="Arial" w:hAnsi="Arial"/>
          <w:sz w:val="17"/>
          <w:szCs w:val="17"/>
          <w:color w:val="auto"/>
        </w:rPr>
        <w:t>) has previously been limited due to the presence of Type I and IV restriction systems in virtually all strains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bacterial species. These restriction systems recognize methylated cytosine bases in DNA from standard clone expansion systems (such as </w:t>
      </w:r>
      <w:r>
        <w:rPr>
          <w:rFonts w:ascii="Arial" w:cs="Arial" w:eastAsia="Arial" w:hAnsi="Arial"/>
          <w:sz w:val="17"/>
          <w:szCs w:val="17"/>
          <w:i w:val="1"/>
          <w:iCs w:val="1"/>
          <w:color w:val="auto"/>
        </w:rPr>
        <w:t>E. coli)</w:t>
      </w:r>
      <w:r>
        <w:rPr>
          <w:rFonts w:ascii="Arial" w:cs="Arial" w:eastAsia="Arial" w:hAnsi="Arial"/>
          <w:sz w:val="17"/>
          <w:szCs w:val="17"/>
          <w:color w:val="auto"/>
        </w:rPr>
        <w:t xml:space="preserve"> and hinder incorporation of foreign DNA in the microbe.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was once believed to be an “untransformable” strain due to its genetic intractability. However, we have been able to overcome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defenses.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jc w:val="both"/>
        <w:ind w:firstLine="648"/>
        <w:spacing w:after="0" w:line="288" w:lineRule="auto"/>
        <w:rPr>
          <w:sz w:val="20"/>
          <w:szCs w:val="20"/>
          <w:color w:val="auto"/>
        </w:rPr>
      </w:pPr>
      <w:r>
        <w:rPr>
          <w:rFonts w:ascii="Arial" w:cs="Arial" w:eastAsia="Arial" w:hAnsi="Arial"/>
          <w:sz w:val="16"/>
          <w:szCs w:val="16"/>
          <w:color w:val="auto"/>
        </w:rPr>
        <w:t xml:space="preserve">Current genetic engineering processes add specific modifications to disguise human made DNA to trick the bacterium into thinking the intruder is a part of its own DNA. This approach often takes considerable time and resources to try to match the right disguise to each particular recognition motif. In contrast, Fred Hutch’s SyMPL technology platform is a systematic “stealth-by-engineering” approach to overcome restriction modification defense systems. These restriction modification defense systems protect microbes from foreign DNA and hinder the vast majority of genetic engineering approaches. The SyMPL technology platform is based on the ability to build minicircle DNA plasmids which lack any of the target recognition motifs for the microbe’s defense systems to identify. The technology uses the genome and methylome from a target bacteria’s genomic sequence to identify the restriction modification target motifs. They are then eliminated from the nucleotide sequence of the genetic tool </w:t>
      </w:r>
      <w:r>
        <w:rPr>
          <w:rFonts w:ascii="Arial" w:cs="Arial" w:eastAsia="Arial" w:hAnsi="Arial"/>
          <w:sz w:val="16"/>
          <w:szCs w:val="16"/>
          <w:i w:val="1"/>
          <w:iCs w:val="1"/>
          <w:color w:val="auto"/>
        </w:rPr>
        <w:t>in silico</w:t>
      </w:r>
      <w:r>
        <w:rPr>
          <w:rFonts w:ascii="Arial" w:cs="Arial" w:eastAsia="Arial" w:hAnsi="Arial"/>
          <w:sz w:val="16"/>
          <w:szCs w:val="16"/>
          <w:color w:val="auto"/>
        </w:rPr>
        <w:t>. The resulting sequence is used to build the restriction modification, SyMPL tools. These are propagated and then used for genetic transformations. Not only does the “stealth by engineering” approach enable transformations in genetically intractable bacterial strains, but it has also been shown to drastically increase transformational efficiency. Proof of principle experiments have shown improvements of over 10,000x in yields of genetically engineered colonies.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January 2022, Fred Hutch granted us an exclusive worldwide, royalty bearing license to the patent rights, and a non-exclusive worldwide, royalty bearing license to the related know-how, for the SyMPL technology platform in all fields of use. For more information related to the intellectual property acquired pursuant to the Fred Hutch license agreement, see the section titled “</w:t>
      </w:r>
      <w:r>
        <w:rPr>
          <w:rFonts w:ascii="Arial" w:cs="Arial" w:eastAsia="Arial" w:hAnsi="Arial"/>
          <w:sz w:val="17"/>
          <w:szCs w:val="17"/>
          <w:i w:val="1"/>
          <w:iCs w:val="1"/>
          <w:color w:val="auto"/>
        </w:rPr>
        <w:t>Business-Licenses and Intellectual Property Rights</w:t>
      </w: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ATR-12 for the treatment of Netherton syndrome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ATR-12 is our proprietary and patent-pending drug candidate that contains a novel strain of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which has been genetically modified to express and secrete an active fragment of the full-length protein called the lympho-epithelial Kazal-type related inhibitor, or LEKTI. It has also been engineered to be auxotrophic, meaning that it requires the D-alanine nutrient in its formulation to survive and propagate. This provides an additional level of safety against potential systemic infection. ATR-12 is a topical application intended to address the underlying cause of Netherton syndrome, by replacing deficient LEKTI with an active segment of human recombinant LEKTI, or rhLEKTI-D6, to counter the dysregulated skin serine protease activity observed in Netherton syndrome patients. The uncontrolled serine protease activity leads to a profound skin barrier defect and the release of pro-inflammatory and pro-allergic mediators by keratinocytes and immune cells. As of the date of this prospectus, there is no known therapy for the cure or effective treatment of Netherton syndrome. We believe ATR-12 has the potential to be the first therapy to effectively treat this disease of the skin.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Netherton syndrome overview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Netherton syndrome is a rare, autosomal recessive disease estimated to affect approximately one in every 200,000, but its prevalence may be underestimated due to misdiagnosis. It is a chronic disease of the skin, characterized by severe inflammation, pruritus, scaling, red, and dehydrated skin. Infants born with Netherton syndrome may suffer from a failure to thrive, and it has been reported that approximately one in ten infants with Netherton syndrome die in their first year of life. Those that survive face a lifetime of skin disease challenges including red, scaly skin, hair defects and an ongoing higher than normal risk for infection and allergy.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Netherton syndrome is caused by mutations in the </w:t>
      </w:r>
      <w:r>
        <w:rPr>
          <w:rFonts w:ascii="Arial" w:cs="Arial" w:eastAsia="Arial" w:hAnsi="Arial"/>
          <w:sz w:val="17"/>
          <w:szCs w:val="17"/>
          <w:i w:val="1"/>
          <w:iCs w:val="1"/>
          <w:color w:val="auto"/>
        </w:rPr>
        <w:t>SPINK5</w:t>
      </w:r>
      <w:r>
        <w:rPr>
          <w:rFonts w:ascii="Arial" w:cs="Arial" w:eastAsia="Arial" w:hAnsi="Arial"/>
          <w:sz w:val="17"/>
          <w:szCs w:val="17"/>
          <w:color w:val="auto"/>
        </w:rPr>
        <w:t xml:space="preserve"> gene, which codes for the serine protease inhibitor Lympho-epithelial Kazal-type related inhibitor, or LEKTI. The function of LEKTI is to inhibit enzymes in the epidermis, such as kalikreins 5, 7 and 14, or KLK5, KLK7 and KLK14, which facilitate the shedding of skin cells in a process known as desquamation. When LEKTI is absent or has reduced activity, excess shedding results and the skin is sensitive, open, and appears red and scaly. This is accompanied by the detachment of the stratum corneum, leading to severe barrier dysfunction, dehydration and potential exposure to environmental agents, such as chemicals. Histopathology and immunofluorescence staining of skin from a Netherton syndrome patient compared to healthy volunteer reveal an absence of LEKTI and abnormalities in the skin such hyperkeratosis, epidermal thickening, and reduction of the basophilic keratohyalin granules.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121920</wp:posOffset>
            </wp:positionV>
            <wp:extent cx="5743575" cy="2623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357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Figure 2: Netherton syndrome pathophysiology and LETKI deficiency</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Netherton syndrome can range in severity from mild, such as red patchy areas of the skin, to life threatening. The degree of severity of the disease correlates directly with the extent of loss of function of LEKTI on the skin. Netherton syndrome appears shortly after birth and is most severe in the first year of an infant’s life. Survival beyond the first year is common in most cases, but the implications of the disease are a lifelong challenge.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295" w:gutter="0" w:footer="0" w:header="0"/>
        </w:sectPr>
      </w:pPr>
    </w:p>
    <w:bookmarkStart w:id="65" w:name="page66"/>
    <w:bookmarkEnd w:id="65"/>
    <w:p>
      <w:pPr>
        <w:jc w:val="both"/>
        <w:ind w:firstLine="648"/>
        <w:spacing w:after="0" w:line="296" w:lineRule="auto"/>
        <w:rPr>
          <w:sz w:val="20"/>
          <w:szCs w:val="20"/>
          <w:color w:val="auto"/>
        </w:rPr>
      </w:pPr>
      <w:r>
        <w:rPr>
          <w:rFonts w:ascii="Arial" w:cs="Arial" w:eastAsia="Arial" w:hAnsi="Arial"/>
          <w:sz w:val="16"/>
          <w:szCs w:val="16"/>
          <w:color w:val="auto"/>
        </w:rPr>
        <w:t>As of the date of this prospectus, there is no known cure for Netherton syndrome and treatment options are limited. Dermatologic interventions to treat the severe skin manifestations of Netherton syndrome include moisturizers, topical corticosteroids, and calcineurin inhibitors, all of which are limited in that they do not provide sustained remediation. Given the severity of disease during neonatal stages, fluid/electrolyte and diet support are needed in addition to treating infections that often arise in these patients. While immunoglobulin therapy to address immunodeficiencies associated with Netherton syndrome has shown limited success, a sustained remediation of skin barrier defects, induced by dysregulation of LEKTI, is currently unavailable.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solution – ATR-12 for the treatment of Netherton syndrome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ATR-12 is a topical ointment containing an </w:t>
      </w:r>
      <w:r>
        <w:rPr>
          <w:rFonts w:ascii="Arial" w:cs="Arial" w:eastAsia="Arial" w:hAnsi="Arial"/>
          <w:sz w:val="16"/>
          <w:szCs w:val="16"/>
          <w:i w:val="1"/>
          <w:iCs w:val="1"/>
          <w:color w:val="auto"/>
        </w:rPr>
        <w:t>S. epidermidis</w:t>
      </w:r>
      <w:r>
        <w:rPr>
          <w:rFonts w:ascii="Arial" w:cs="Arial" w:eastAsia="Arial" w:hAnsi="Arial"/>
          <w:sz w:val="16"/>
          <w:szCs w:val="16"/>
          <w:color w:val="auto"/>
        </w:rPr>
        <w:t xml:space="preserve"> strain, SE351, that has been genetically modified to express LEKTI from the chromosome. The SE351 strain has also been engineered to be auxotrophic for D-alanine, which means it cannot survive without the exogenous D-alanine nutrient, provided in the formulation. ATR-12 is intended to address the underlying cause of Netherton syndrome by replacing deficient/dysfunctional LEKTI with an active, recombinant, human fragment of the full-length protein, rhLEKTI-D6. The treatment consists of applying ATR-12 to affected areas. rhLEKTI-D6 produced by SE351 will counter the dysregulated skin serine protease activity observed in Netherton syndrome patients, to restore skin barrier function and reduce inflammation. We believe that among the important advantages of this approach is the potential to deliver rhLEKTI-D6 over time into the lower layers of the stratum corneum and epidermis, the primary sites of dysregulation in patients with Netherton syndrome.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strain selected to deliver rhLEKTI-D6 to the skin, SE351, was selected from our proprietary strain collection. This strain is characterized by low virulence and is a non-biofilm forming host strain. To further enhance the safety of ATR-12, we have engineered the microbe for D-alanine to be auxotrophic. The key advantage to engineering auxotrophy is the ability to control growth and halt potential infection. Full length human LETKI, a 15-domain protein (145 kDa), is too large for reliable bacterial expression and secretion. Given evidence that fragments of the full-length protein are sufficient to counter the dysregulated skin serine protease activity observed in Netherton syndrome patients, we selected D6 for recombinant expression in </w:t>
      </w:r>
      <w:r>
        <w:rPr>
          <w:rFonts w:ascii="Arial" w:cs="Arial" w:eastAsia="Arial" w:hAnsi="Arial"/>
          <w:sz w:val="18"/>
          <w:szCs w:val="18"/>
          <w:i w:val="1"/>
          <w:iCs w:val="1"/>
          <w:color w:val="auto"/>
        </w:rPr>
        <w:t>S. epidermidis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received Rare Pediatric Disease Designation from the FDA for ATR-12. As a result, if we are able to obtain pre-market approval for ATR-12 from the FDA, we will be eligible to receive a Priority Review Voucher upon approval, which can be used by us to obtain FDA review of a New Drug Application for this or another drug candidate in an expedited period of six months. These vouchers are often transferable and have been sold for over $100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Preclinical data for ATR-12</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As of the date of this prospectus, we have conducted several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experiments that collectively support the potential efficacy of ATR-12 as a disease modifying therapy for patients with Netherton syndrome. The genetically engineered strain of S. epidermidis used in the formulated ATR-12 drug product is called SE351. In 2021, we conducted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to assess the ability of exogenously applied SE351 to colonize sterile reconstructed human epidermis. SE351 successfully colonized the reconstructed human epidermis and, furthermore, no </w:t>
      </w:r>
      <w:r>
        <w:rPr>
          <w:rFonts w:ascii="Arial" w:cs="Arial" w:eastAsia="Arial" w:hAnsi="Arial"/>
          <w:sz w:val="17"/>
          <w:szCs w:val="17"/>
          <w:i w:val="1"/>
          <w:iCs w:val="1"/>
          <w:color w:val="auto"/>
        </w:rPr>
        <w:t>S. epidermidis</w:t>
      </w:r>
      <w:r>
        <w:rPr>
          <w:rFonts w:ascii="Arial" w:cs="Arial" w:eastAsia="Arial" w:hAnsi="Arial"/>
          <w:sz w:val="17"/>
          <w:szCs w:val="17"/>
          <w:color w:val="auto"/>
        </w:rPr>
        <w:t xml:space="preserve"> colonization occurred without D-alanine present, confirming that D-alanine must be supplied for SE351 growth on skin. These data suggest that SE351 is capable of colonizing human skin, and that colonization can be controlled with D-alanine supplementation.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Additionally,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using tape stripped skin from healthy volunteers spiked with KLK5 to mimic Netherton syndrome showed that diluted SE351 culture supernatant dose-dependently inhibited trypsin-like activity (KLK5 activity). Trypsin-like activity in the Netherton syndrome surrogates returned to normal healthy levels when a solution containing ≥0.5% of the SE351 culture supernatant was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125730</wp:posOffset>
            </wp:positionV>
            <wp:extent cx="5743575" cy="1817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4357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Figure 3: </w:t>
      </w:r>
      <w:r>
        <w:rPr>
          <w:rFonts w:ascii="Arial" w:cs="Arial" w:eastAsia="Arial" w:hAnsi="Arial"/>
          <w:sz w:val="16"/>
          <w:szCs w:val="16"/>
          <w:b w:val="1"/>
          <w:bCs w:val="1"/>
          <w:i w:val="1"/>
          <w:iCs w:val="1"/>
          <w:color w:val="auto"/>
        </w:rPr>
        <w:t>In Vitro</w:t>
      </w:r>
      <w:r>
        <w:rPr>
          <w:rFonts w:ascii="Arial" w:cs="Arial" w:eastAsia="Arial" w:hAnsi="Arial"/>
          <w:sz w:val="16"/>
          <w:szCs w:val="16"/>
          <w:b w:val="1"/>
          <w:bCs w:val="1"/>
          <w:color w:val="auto"/>
        </w:rPr>
        <w:t xml:space="preserve"> Netherton Syndrome Model Using Human Skin Tape Strip Extracts Supplemented with Disease Level KLK5 Activity</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addition, results from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pig skin model demonstrate that a single topical dose of ATR-12 at 3 dose levels led to secretion of active rhLEKTI-D6. Finally, data from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healthy human skin model demonstrate that a single topical dose of ATR-12 administered at the maximum</w:t>
      </w:r>
    </w:p>
    <w:p>
      <w:pPr>
        <w:jc w:val="both"/>
        <w:spacing w:after="0" w:line="211" w:lineRule="auto"/>
        <w:rPr>
          <w:sz w:val="20"/>
          <w:szCs w:val="20"/>
          <w:color w:val="auto"/>
        </w:rPr>
      </w:pPr>
      <w:r>
        <w:rPr>
          <w:rFonts w:ascii="Arial" w:cs="Arial" w:eastAsia="Arial" w:hAnsi="Arial"/>
          <w:sz w:val="18"/>
          <w:szCs w:val="18"/>
          <w:color w:val="auto"/>
        </w:rPr>
        <w:t>intended dose of 10</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CFU/g delivers enough active rhLEKTI-D6 into the lower layers of the stratum corneum to effectively inhibit the protease, kallikrein 5 (“KLK5”), at levels typically observed in patients with Netherton syndrome.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particular, data from an ex vivo healthy human skin model demonstrate that a single topical dose of ATR-12 administered at the maximum</w:t>
      </w:r>
    </w:p>
    <w:p>
      <w:pPr>
        <w:spacing w:after="0" w:line="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intended dose of 10</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Colony Forming Units per gram (CFU/g) delivers enough active rhLEKTI-D6 into the lower layers of the stratum corneum to effectively inhibit KLK5 at levels typically observed in patients with Netherton syndrome. Amounts of LEKTI-activity in layers extracted were from tape strips samples from ex vivo human skin treated with placebo and ATR-12. The collection proceeded right after skin application (t = 0 hours, white bars) or after 8 hours incubation at 30°C (t = 8 hours, black bars). Total LEKTI activity levels were obtained by adding the pmol amounts through layers 1 to 30 of placebo (grey bars) or ATR-12 (black bars) samples. Data are the average ± a standard deviation (SD) of 3 independent samples (N = 3). Statistical analysis in I was carried out using two-way ANOVA, and ** represents p &lt;0.01.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349240" cy="1714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4: LETKI activity in Placebo and ATR-12-Treated Skin Samples Following 0- and 8-hour Incubation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a single therapeutic dose of ATR-12 over 24-hour incubation yielded ~2-fold higher LEKTI activity compared to 8-hour incubation.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indicates continuous production of functional rhLEKTI-D6 by ATR-12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142875</wp:posOffset>
            </wp:positionV>
            <wp:extent cx="5743575" cy="1817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43575" cy="181737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b w:val="1"/>
          <w:bCs w:val="1"/>
          <w:color w:val="auto"/>
        </w:rPr>
        <w:t>Figure 5: LETKI activity in Placebo and ATR-12-Treated Skin Samples Following 24-hour Incubation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vitro stoichiometry work performed by Azitra indicates that KLK5 requires 2 molar equivalents on the LEKTI-D6 protein for inhibition (as measured by IC50). Historical studies have indicated that Netherton syndrome patients to show up to ~6 fold the amount of KLK5 that the amounts found in normal skin. This equates to 60 pmol of KLK5 per given area. The studies shown above indicate that SE351 delivered 350 pmol of LEKTI-D6 at 8 hours and it delivered 700 pmol of LEKTI-D6 at 24 hours. This represents a 5-to-11 fold amount above the predicted amount required for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117475</wp:posOffset>
            </wp:positionV>
            <wp:extent cx="2391410" cy="1800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9141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Figure 6: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stoichiometry of LEKTI-D6 to inhibit KLK5</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2022, we obtained pre-IND correspondence with the FDA for purposes of discussing our proposed regulatory pathway for ATR-12 and obtaining guidance from the FDA on the pre-clinical plan leading to the filing and acceptance of an IND application for ATR-12. In December 2022, we filed an IND for a first-in-human trial of ATR-12 in Netherton syndrome patients. Our IND proposes a Phase 1b multi-center, randomized, double-blind, single dose level, placebo-controlled clinical study of ATR-12 in patients with Netherton syndrome. The primary endpoint is safety and secondary endpoints will include signals of efficacy and pharmacokinetics. Exploratory endpoints include immune and inflammatory mechanism biomarkers. On January 27, 2023, we received notification from the FDA that the “study may proceed” with respect to the proposed Phase 1b clinical trial, and we expect to commence our Phase 1b clinical trial in the first half of 2023, with initial results expected in the first half of 2024.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i w:val="1"/>
          <w:iCs w:val="1"/>
          <w:color w:val="auto"/>
        </w:rPr>
        <w:t>ATR-04 for the Treatment of EGFRi-Associated Rash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ATR-04 is our proprietary and patent-pending drug candidate that contains a novel strain of </w:t>
      </w:r>
      <w:r>
        <w:rPr>
          <w:rFonts w:ascii="Arial" w:cs="Arial" w:eastAsia="Arial" w:hAnsi="Arial"/>
          <w:sz w:val="18"/>
          <w:szCs w:val="18"/>
          <w:i w:val="1"/>
          <w:iCs w:val="1"/>
          <w:color w:val="auto"/>
        </w:rPr>
        <w:t>S. epidermidis</w:t>
      </w:r>
      <w:r>
        <w:rPr>
          <w:rFonts w:ascii="Arial" w:cs="Arial" w:eastAsia="Arial" w:hAnsi="Arial"/>
          <w:sz w:val="18"/>
          <w:szCs w:val="18"/>
          <w:color w:val="auto"/>
        </w:rPr>
        <w:t>, SE484, which has been genetically modified to be auxotrophic tor D-alanine. ATR-04 is a topical application intended to address the papulopustular rash experienced by cancer patients undergoing epidermal growth factor receptor inhibitor, or EGFRi, targeted therapy.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EGFRi-Associated Rash Overview</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Targeted cancer therapies have produced significant treatment advances for patients diagnosed with a variety of tumor types, but they are also associated with unique dermatologic toxicities that may hamper treatment efforts and cause significant physical and psychological discomfort for patients. Prevention and management of these toxicities may allow patients to tolerate treatments better, remain on therapy longer and thereby potentially receive maximum clinical benefit from the drug. One such class of targeted cancer therapy includes EGFR inhibitors. EGFR is a protein on the surface of cells that helps them grow and divide. It is also a key factor in certain malignancies, and its activity enhances tumor growth, invasion, and metastasis. While systemic exposure to EGFRi agents suppresses EGFR at the target cancer site, it also suppresses EGFR throughout the body. In the skin, EGFR regulates multiple keratinocyte functions including proliferation, adhesion and migration, survival, and differentiation. Consequently, inhibition of EGFR in the skin results in adverse skin reactions, which make it difficult for patients to stay on these effective therapies.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Dermatologic toxicities are amongst the most prevalent side effects seen with EGFRi-targeted therapies. The papulopustular rash is the earliest and most common dermatologic adverse event of EGFRi treatment, often occurring in 50-80% of patients, depending on the drug, the cancer being treated, and the treatment regimen. The appearance of the papulopustular rash is a dose-dependent skin drug reaction, which usually develops in the first one to two weeks and peaks at three to four weeks on therapy. The intensity of the rash may start to decrease after two weeks but can persists over the entire course of EGFRi treatment. The rash is characterized clinically as tender erythematous papules, which after a few days evolve into pustules and then into crusts on the face, scalp, chest, and upper back. The rash is often accompanied by severe xerosis and at times serious cutaneous bacterial infection, primarily </w:t>
      </w:r>
      <w:r>
        <w:rPr>
          <w:rFonts w:ascii="Arial" w:cs="Arial" w:eastAsia="Arial" w:hAnsi="Arial"/>
          <w:sz w:val="17"/>
          <w:szCs w:val="17"/>
          <w:i w:val="1"/>
          <w:iCs w:val="1"/>
          <w:color w:val="auto"/>
        </w:rPr>
        <w:t>S.</w:t>
      </w:r>
      <w:r>
        <w:rPr>
          <w:rFonts w:ascii="Arial" w:cs="Arial" w:eastAsia="Arial" w:hAnsi="Arial"/>
          <w:sz w:val="17"/>
          <w:szCs w:val="17"/>
          <w:color w:val="auto"/>
        </w:rPr>
        <w:t xml:space="preserve"> </w:t>
      </w:r>
      <w:r>
        <w:rPr>
          <w:rFonts w:ascii="Arial" w:cs="Arial" w:eastAsia="Arial" w:hAnsi="Arial"/>
          <w:sz w:val="17"/>
          <w:szCs w:val="17"/>
          <w:i w:val="1"/>
          <w:iCs w:val="1"/>
          <w:color w:val="auto"/>
        </w:rPr>
        <w:t>aureus</w:t>
      </w:r>
      <w:r>
        <w:rPr>
          <w:rFonts w:ascii="Arial" w:cs="Arial" w:eastAsia="Arial" w:hAnsi="Arial"/>
          <w:sz w:val="17"/>
          <w:szCs w:val="17"/>
          <w:color w:val="auto"/>
        </w:rPr>
        <w:t>. While most skin rash episodes are considered mild to moderate, some are severe. In many cases the rash leads to severe quality of life issues and</w:t>
      </w:r>
      <w:r>
        <w:rPr>
          <w:rFonts w:ascii="Arial" w:cs="Arial" w:eastAsia="Arial" w:hAnsi="Arial"/>
          <w:sz w:val="17"/>
          <w:szCs w:val="17"/>
          <w:i w:val="1"/>
          <w:iCs w:val="1"/>
          <w:color w:val="auto"/>
        </w:rPr>
        <w:t xml:space="preserve"> </w:t>
      </w:r>
      <w:r>
        <w:rPr>
          <w:rFonts w:ascii="Arial" w:cs="Arial" w:eastAsia="Arial" w:hAnsi="Arial"/>
          <w:sz w:val="17"/>
          <w:szCs w:val="17"/>
          <w:color w:val="auto"/>
        </w:rPr>
        <w:t>can even lead to the interruption or cessation of the EGFRi treatment</w:t>
      </w:r>
      <w:r>
        <w:rPr>
          <w:rFonts w:ascii="Arial" w:cs="Arial" w:eastAsia="Arial" w:hAnsi="Arial"/>
          <w:sz w:val="17"/>
          <w:szCs w:val="17"/>
          <w:i w:val="1"/>
          <w:iCs w:val="1"/>
          <w:color w:val="auto"/>
        </w:rPr>
        <w:t>.</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current standard of care for rash treatment in patients undergoing EGFRi treatment varies depending on the rash severity. Typically, skin moisturizers, topical steroids and doxycycline are administered prophylactically from the start of EGFRi therapy and are continued throughout the entire treatment period. If the rash continues to advance, oral steroids and/or antibiotics are administered. However, there are known systemic adverse events associated with these adjunctive therapies, and we believe that physicians and patients try to limit their use. In addition, research indicates that oral antibiotics lead to a disruption in the gut microbiome, which in turn leads to a decrease in the effectiveness of targeted therapies, including EGFRi. Given the high incidence rate of rash that continues with these patients, as well as the concerns related to potential impacts of antibiotics on these therapies, we believe there is a clear unmet medical need for additional safe and effective adjunctive therapies for addressing papulopustular skin rash.</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Based on studies conducted by Satoh and Lichtenberger, the cytokine, Interleukin-36 gamma, or IL-36γ and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are linked to and play a significant role in the rashes experienced by patients treated with EGFRi’s. IL-36γ, is elevated in the skin of patients undergoing EGFRi therapy. In 2020, Satoh used gene expression profiling to identify IL-36γ as a candidate driver of EGFRi/MEKi skin toxicity. It is induced by EGFR inhibition and </w:t>
      </w:r>
      <w:r>
        <w:rPr>
          <w:rFonts w:ascii="Arial" w:cs="Arial" w:eastAsia="Arial" w:hAnsi="Arial"/>
          <w:sz w:val="17"/>
          <w:szCs w:val="17"/>
          <w:i w:val="1"/>
          <w:iCs w:val="1"/>
          <w:color w:val="auto"/>
        </w:rPr>
        <w:t xml:space="preserve">Cutibacterium acnes </w:t>
      </w:r>
      <w:r>
        <w:rPr>
          <w:rFonts w:ascii="Arial" w:cs="Arial" w:eastAsia="Arial" w:hAnsi="Arial"/>
          <w:sz w:val="17"/>
          <w:szCs w:val="17"/>
          <w:color w:val="auto"/>
        </w:rPr>
        <w:t>that synergistically induce IL-36γ in the skin and subsequently IL-8 and NF-κB, which leads to cutaneous neutrophilia. IL-36γ could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a key therapeutic target in treating EGFRi-induced rashes. In 2013, Lichtenberger noted high rates (70%) of bacterial infection in patients (n=107) on EGFRi and proposed a mechanism of EGFR ablation leading to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induced infection in mice. The study noted a majority of the patients were positive with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(54%). Mechanistically, the authors noted that EGFRi therapy impairs host defense: impaired expression of antimicrobial peptides, especially against </w:t>
      </w:r>
      <w:r>
        <w:rPr>
          <w:rFonts w:ascii="Arial" w:cs="Arial" w:eastAsia="Arial" w:hAnsi="Arial"/>
          <w:sz w:val="17"/>
          <w:szCs w:val="17"/>
          <w:i w:val="1"/>
          <w:iCs w:val="1"/>
          <w:color w:val="auto"/>
        </w:rPr>
        <w:t>S. aureus</w:t>
      </w:r>
      <w:r>
        <w:rPr>
          <w:rFonts w:ascii="Arial" w:cs="Arial" w:eastAsia="Arial" w:hAnsi="Arial"/>
          <w:sz w:val="17"/>
          <w:szCs w:val="17"/>
          <w:color w:val="auto"/>
        </w:rPr>
        <w:t>; and lowered expression of tight junctions. Also, the study revealed EGFR ablation leads to skin barrier defects as well as impaired cutaneous immune response and cytokine expression.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Our solution – ATR-04 for the treatment of EGFRi-associated rash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ATR-04 is our formulated, drug product candidate for the treatment of EGFRi associated rash. It includes a novel auxotrophic strain of </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epidermidis </w:t>
      </w:r>
      <w:r>
        <w:rPr>
          <w:rFonts w:ascii="Arial" w:cs="Arial" w:eastAsia="Arial" w:hAnsi="Arial"/>
          <w:sz w:val="18"/>
          <w:szCs w:val="18"/>
          <w:color w:val="auto"/>
        </w:rPr>
        <w:t>strain that was selected from our microbial strain library, based on desired properties of IL-36γ reduction and inhibition of</w:t>
      </w:r>
      <w:r>
        <w:rPr>
          <w:rFonts w:ascii="Arial" w:cs="Arial" w:eastAsia="Arial" w:hAnsi="Arial"/>
          <w:sz w:val="18"/>
          <w:szCs w:val="18"/>
          <w:i w:val="1"/>
          <w:iCs w:val="1"/>
          <w:color w:val="auto"/>
        </w:rPr>
        <w:t xml:space="preserve"> S. aureus </w:t>
      </w:r>
      <w:r>
        <w:rPr>
          <w:rFonts w:ascii="Arial" w:cs="Arial" w:eastAsia="Arial" w:hAnsi="Arial"/>
          <w:sz w:val="18"/>
          <w:szCs w:val="18"/>
          <w:color w:val="auto"/>
        </w:rPr>
        <w:t>and its</w:t>
      </w:r>
      <w:r>
        <w:rPr>
          <w:rFonts w:ascii="Arial" w:cs="Arial" w:eastAsia="Arial" w:hAnsi="Arial"/>
          <w:sz w:val="18"/>
          <w:szCs w:val="18"/>
          <w:i w:val="1"/>
          <w:iCs w:val="1"/>
          <w:color w:val="auto"/>
        </w:rPr>
        <w:t xml:space="preserve"> </w:t>
      </w:r>
      <w:r>
        <w:rPr>
          <w:rFonts w:ascii="Arial" w:cs="Arial" w:eastAsia="Arial" w:hAnsi="Arial"/>
          <w:sz w:val="18"/>
          <w:szCs w:val="18"/>
          <w:color w:val="auto"/>
        </w:rPr>
        <w:t>biofilms. The current lead strain is called SE484. We then genetically engineered SE484 to be auxotrophic tor D-alanine and to create our drug product candidate, ATR-04.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SE484 was chosen from our microbial library based on key characteristics such as inhibition of IL-36γ as well as its effect against </w:t>
      </w:r>
      <w:r>
        <w:rPr>
          <w:rFonts w:ascii="Arial" w:cs="Arial" w:eastAsia="Arial" w:hAnsi="Arial"/>
          <w:sz w:val="17"/>
          <w:szCs w:val="17"/>
          <w:i w:val="1"/>
          <w:iCs w:val="1"/>
          <w:color w:val="auto"/>
        </w:rPr>
        <w:t>S. aureus</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Together, we expect these mechanisms of action to lead to significant reductions in rash severity among patients undergoing EGFRi therapy.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ATR-04 has the potential to address current limitations to treatment of EGFRi-associated rash:</w:t>
      </w:r>
    </w:p>
    <w:p>
      <w:pPr>
        <w:spacing w:after="0" w:line="221" w:lineRule="exact"/>
        <w:rPr>
          <w:sz w:val="20"/>
          <w:szCs w:val="20"/>
          <w:color w:val="auto"/>
        </w:rPr>
      </w:pPr>
    </w:p>
    <w:p>
      <w:pPr>
        <w:jc w:val="both"/>
        <w:ind w:left="980" w:hanging="324"/>
        <w:spacing w:after="0" w:line="261"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Reduced antibiotic use. </w:t>
      </w:r>
      <w:r>
        <w:rPr>
          <w:rFonts w:ascii="Arial" w:cs="Arial" w:eastAsia="Arial" w:hAnsi="Arial"/>
          <w:sz w:val="18"/>
          <w:szCs w:val="18"/>
          <w:color w:val="auto"/>
        </w:rPr>
        <w:t>From our surveys of clinicians and key opinion leaders, practitioners are reluctant to prescribe systemic antibiotics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undergoing EGFRi therapy. These patients can often be prescribed antibiotics for more than 12 months and suffer from antibiotic-related adverse events. We believe ATR-04 would reduce the need for antibiotics in these patients and lead to fewer adverse events due to EGFRi and antibiotic use.</w:t>
      </w:r>
    </w:p>
    <w:p>
      <w:pPr>
        <w:spacing w:after="0" w:line="179"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Better EGFRi compliance. </w:t>
      </w:r>
      <w:r>
        <w:rPr>
          <w:rFonts w:ascii="Arial" w:cs="Arial" w:eastAsia="Arial" w:hAnsi="Arial"/>
          <w:sz w:val="18"/>
          <w:szCs w:val="18"/>
          <w:color w:val="auto"/>
        </w:rPr>
        <w:t>Up to 20% of patients undergoing EGFRi therapy discontinue due to adverse events, primarily due to rashes.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we can reduce discontinuation rate in patients undergoing EGFRi therapy and thus increase compliance.</w:t>
      </w:r>
    </w:p>
    <w:p>
      <w:pPr>
        <w:spacing w:after="0" w:line="161"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Higher quality of life. </w:t>
      </w:r>
      <w:r>
        <w:rPr>
          <w:rFonts w:ascii="Arial" w:cs="Arial" w:eastAsia="Arial" w:hAnsi="Arial"/>
          <w:sz w:val="18"/>
          <w:szCs w:val="18"/>
          <w:color w:val="auto"/>
        </w:rPr>
        <w:t>Many patients on EGFRi therapy report a poor quality of life due to adverse events and papulopustular rashes.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options fail to adequately reduce these adverse events. We believe ATR-04 therapy in patients undergoing EGFRi therapy will have reduced rash severity and thus a higher quality of life.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Preclinical data of ATR-04</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screened over 100 strains based on safety (e.g., lack of antibiotic resistance) and biological activity (e.g., IL-36γ inhibition and activity versus </w:t>
      </w:r>
      <w:r>
        <w:rPr>
          <w:rFonts w:ascii="Arial" w:cs="Arial" w:eastAsia="Arial" w:hAnsi="Arial"/>
          <w:sz w:val="18"/>
          <w:szCs w:val="18"/>
          <w:i w:val="1"/>
          <w:iCs w:val="1"/>
          <w:color w:val="auto"/>
        </w:rPr>
        <w:t>S. aureus</w:t>
      </w:r>
      <w:r>
        <w:rPr>
          <w:rFonts w:ascii="Arial" w:cs="Arial" w:eastAsia="Arial" w:hAnsi="Arial"/>
          <w:sz w:val="18"/>
          <w:szCs w:val="18"/>
          <w:color w:val="auto"/>
        </w:rPr>
        <w:t>) and designated SE484 as our lead candidate strain. After engineering this strain to be auxotrophic for D-alanine, we nominated this candidate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use as the active microbe in the ATR-04 drug product formulation.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jc w:val="both"/>
        <w:ind w:firstLine="648"/>
        <w:spacing w:after="0" w:line="296" w:lineRule="auto"/>
        <w:rPr>
          <w:sz w:val="20"/>
          <w:szCs w:val="20"/>
          <w:color w:val="auto"/>
        </w:rPr>
      </w:pPr>
      <w:r>
        <w:rPr>
          <w:rFonts w:ascii="Arial" w:cs="Arial" w:eastAsia="Arial" w:hAnsi="Arial"/>
          <w:sz w:val="16"/>
          <w:szCs w:val="16"/>
          <w:color w:val="auto"/>
        </w:rPr>
        <w:t>EGFRi is a condition that is characterized by redness, itchiness, and irritation of the skin, and is induced by certain cancer treatments. It was shown, by gene expression profiling (Satoh et al 2020), that skin biopsy samples from patients suffering from EGFRi had elevated levels of cytokines IL-36γ (IL-36 gamma) and IL-8 compared to skin from healthy donors. These are proinflammatory cytokines that are signaling molecules of the immune system that increase the intensity of an immune response and can cause tissue damage. In addition to elevated cytokine levels, EGFRi-treated patients have impaired skin barrier function. Infection with pathogenic strains of S. aureus exacerbates the EGFRi-induced cutaneous disease.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work was focused on identifying a Staphylococcus epidermidis strain, a skin commensal, that reduces IL-36γ levels and thus reduces the rash associated with EGFRi. We reasoned that many species of bacteria that live on human skin probably survive there because they have evolved ways to reduce the human immune system’s response to their presence, and we might be able to identify a resident human skin commensal bacteria that survives thereby specifically reducing IL-36γ activity.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identify such a Staphylococcus epidermidis strain, we developed an in vitro assay to measure the levels of IL-36γ and IL-8 that are produced by human skin cells that are grown in culture. The cell line we used is called HaCaT and is derived from human keratinocytes, which are a cell type in the epidermidis. In order to simulate the inflammatory manifestation of EGFRi-related disease of the skin, HaCaT cells are stimulated with an immunostimulant, Poly IC, which causes them to secrete elevated levels of IL-36γ and IL-8. This assay was used to identify and evaluate the ability of different S. epidermidis strains to lower IL-36γ and IL-8 levels.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screened over 100 strains based on safety (e.g., lack of antibiotic resistance) and biological activity (IL-36γ inhibition and activity against S. aureus) and designated SE484 as our lead candidate strain. After engineering this strain to be auxotrophic for D-alanine, so that it will grow only if provided with D-alanine, we nominated this candidate for use as the active microbe in the ATR-04 drug product formulation.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Figure 7 shows the results of the IL36g in vitro assay to evaluate the ability of strain SE484 to reduce or inhibit IL-36γ levels in HaCaT cells. The black bars show the effect of adding Poly IC to HaCaT cells to induce IL-36γ levels approximately two-fold over normal levels. In the presence of culture supernatant (CS) of SE484, the level of IL-36g is reduced to baseline levels, similar to a chemical inhibitor of Poly IC (shown as Poly IC + inh). Panel A shows the results after 48 hours of exposure to the various treatments, while Panel B shows the results after 72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117475</wp:posOffset>
            </wp:positionV>
            <wp:extent cx="4603750" cy="254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037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Figure 7. IL-36g induction by Poly IC is Reduced by CS of SE484</w:t>
      </w:r>
      <w:r>
        <w:rPr>
          <w:rFonts w:ascii="Arial" w:cs="Arial" w:eastAsia="Arial" w:hAnsi="Arial"/>
          <w:sz w:val="18"/>
          <w:szCs w:val="18"/>
          <w:color w:val="auto"/>
        </w:rPr>
        <w:t>. Black bars are the levels of IL-36g when HaCaT cells are stimulated with Poly IC.</w:t>
      </w:r>
      <w:r>
        <w:rPr>
          <w:rFonts w:ascii="Arial" w:cs="Arial" w:eastAsia="Arial" w:hAnsi="Arial"/>
          <w:sz w:val="18"/>
          <w:szCs w:val="18"/>
          <w:b w:val="1"/>
          <w:bCs w:val="1"/>
          <w:color w:val="auto"/>
        </w:rPr>
        <w:t xml:space="preserve"> </w:t>
      </w:r>
      <w:r>
        <w:rPr>
          <w:rFonts w:ascii="Arial" w:cs="Arial" w:eastAsia="Arial" w:hAnsi="Arial"/>
          <w:sz w:val="18"/>
          <w:szCs w:val="18"/>
          <w:color w:val="auto"/>
        </w:rPr>
        <w:t>The presence of culture medium from SE484 prevents the stimulation and release of IL-36g by Poly IC (red arrow). An inhibitor of Poly IC is used as control (blue arrow). Panel A shows suppression of IL-36g after 48-hour exposure of SE484 and Panel B, 72-hour exposure. Data is representative of 2 independent experiments. CS= culture supernatant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2317115</wp:posOffset>
            </wp:positionH>
            <wp:positionV relativeFrom="page">
              <wp:posOffset>431800</wp:posOffset>
            </wp:positionV>
            <wp:extent cx="2914650" cy="2691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91465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60" w:right="640"/>
        <w:spacing w:after="0" w:line="266" w:lineRule="auto"/>
        <w:rPr>
          <w:sz w:val="20"/>
          <w:szCs w:val="20"/>
          <w:color w:val="auto"/>
        </w:rPr>
      </w:pPr>
      <w:r>
        <w:rPr>
          <w:rFonts w:ascii="Arial" w:cs="Arial" w:eastAsia="Arial" w:hAnsi="Arial"/>
          <w:sz w:val="18"/>
          <w:szCs w:val="18"/>
          <w:b w:val="1"/>
          <w:bCs w:val="1"/>
          <w:color w:val="auto"/>
        </w:rPr>
        <w:t>Figure 8. IL-8 induction by Poly IC is Reduced by CS of SE484</w:t>
      </w:r>
      <w:r>
        <w:rPr>
          <w:rFonts w:ascii="Arial" w:cs="Arial" w:eastAsia="Arial" w:hAnsi="Arial"/>
          <w:sz w:val="18"/>
          <w:szCs w:val="18"/>
          <w:color w:val="auto"/>
        </w:rPr>
        <w:t>. The presence of culture medium from SE484 prevents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stimulation and release of IL-8 by Poly IC (red arrow). An inhibitor of Poly IC is used as control (blue arrow). Data is representative of 2 independent experiments. CS= culture supernatant</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Figure 8 shows the inhibitory effect of SE484 culture supernatant on the induction of IL-8 by Poly IC. Similar to IL-36g, when Poly IC are added to HaCaT cells, IL-8 are also secreted, several folds above background (as seen in “untreated HaCaT and SE484 treated HaCaT). However, in the presence of SE484, lower levels of IL-8 were detected, thus further demonstrating the efficacy of SE484 to inhibiting the proinflammatory pathway involved in EGFRi-related rash.</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results show that culture media of S. epidermidis strain SE484, which was isolated from a healthy human volunteer, can reduce the level of IL-36g and IL-8 produced by HaCaT cells (Figure 7 and Figure 8, respectively) and thus help in the treatment of EGFRi- related rash. In addition to its anti-IL-36g property, SE484 also has broad activity against different MRSA strain types as well as methicillin sensitive S. aureus. The ability of SE484 to reduce IL-36g/IL- 8 levels as well as its activity against S. aureus and the engineered D-alanine auxotrophy enabled us to nominate strain SE484 for use as the active microbe in the ATR-04 drug product formulation to form the basis of a treatment and reduce the severity of EGFRi rash.</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have also shown that SE484 leads to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inhibition of known virulent strains USA300, which is resistant to methicillin, and MSSA, which is sensitive to methicillin. The following data shows that ATR-04 reduces the ability of the pathogenic S. aureus bacterial species to grow and instigate infections that are seen in patients with EGFRi 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125730</wp:posOffset>
            </wp:positionV>
            <wp:extent cx="4903470" cy="20148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0347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Figure 9. Epidermin-expressing SE484 kills S. aureus with similar activity as mupirocin on in vitro agar plates.</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88900</wp:posOffset>
            </wp:positionV>
            <wp:extent cx="4937760" cy="2400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jc w:val="both"/>
        <w:ind w:firstLine="648"/>
        <w:spacing w:after="0" w:line="257" w:lineRule="auto"/>
        <w:rPr>
          <w:sz w:val="20"/>
          <w:szCs w:val="20"/>
          <w:color w:val="auto"/>
        </w:rPr>
      </w:pPr>
      <w:r>
        <w:rPr>
          <w:rFonts w:ascii="Arial" w:cs="Arial" w:eastAsia="Arial" w:hAnsi="Arial"/>
          <w:sz w:val="18"/>
          <w:szCs w:val="18"/>
          <w:color w:val="auto"/>
        </w:rPr>
        <w:t>We are proposing an initial study of SE484 in the ATR-04 formulation in patients. It is contemplated to be a Phase 1b multi-center, randomized, double-blind, single- dose, placebo-controlled trial in patients with colorectal or head and neck cancer who are initiating EGFRi monoclonal antibody therapies. The primary endpoint is safety and secondary endpoints will include efficacy and Quality of Life, or QoL We are planning to submit an IND by the end of 2023. Subject to FDA approval of our IND, we expect to commence our Phase 1b clinical trial in the first-half of 2024 with initial results expected in late 2024.</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ATR-01 for the treatment of ichthyosis vulgaris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ATR-01 is our drug product candidate intended to treat ichthyosis vulgaris. The program is currently investigating a proprietary and patent-pending novel engineering segment of human filaggrin protein. ATR-01 is being developed as a topical application intended to address ichthyosis vulgaris, a chronic scaly skin disease with an estimated incidence and prevalence of 1 in 250, which gives a total patient population of 1.3 million in the United States. Ichthyosis vulgaris is caused by loss-of-function mutations in the gene encoding filaggrin Using synthetic biology tools for protein engineering, we attached a cell penetrating peptide to filaggrin, which helps facilitate deeper skin delivery for filaggrin. This is designed to overcome the impenetrability of the skin barrier, which would otherwise limit topical protein delivery.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Ichthyosis vulgaris overview</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Ichthyosis vulgaris, or IV, is a chronic, xerotic, scaly skin disease with an estimated incidence and prevalence of 1 in 250, which gives a total patient population of 1.3 million in the United States. Clinical features of IV usually appear at around 2 months of age and include generalized xerosis and fine, white to gray scales that are prominent on the abdomen, chest, and extensor surfaces of the extremities. Although rare, some IV patients also experience hypohidrosis and heat intolerance. The pathogenesis of IV has long been identified as a decrease in the size or number, or even a complete absence of, epidermal keratohyaline granules. In addition, patients with IV are at increased risk for atopic dermatitis, asthma and allergies.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Ichthyosis vulgaris is an autosomal semidominant disease caused by loss-of-function mutations in the gene encoding filaggrin. Filaggrin is an essential structural protein that is derived from profilaggrin, which breaks down into individual filaggrin units in the stratum corneum. These reinforce the skin barrier by binding to keratins and other intermediate filament proteins in the keratinocyte cytoskeleton. Many studies have identified loss-of-function mutations in </w:t>
      </w:r>
      <w:r>
        <w:rPr>
          <w:rFonts w:ascii="Arial" w:cs="Arial" w:eastAsia="Arial" w:hAnsi="Arial"/>
          <w:sz w:val="17"/>
          <w:szCs w:val="17"/>
          <w:i w:val="1"/>
          <w:iCs w:val="1"/>
          <w:color w:val="auto"/>
        </w:rPr>
        <w:t>FLG</w:t>
      </w:r>
      <w:r>
        <w:rPr>
          <w:rFonts w:ascii="Arial" w:cs="Arial" w:eastAsia="Arial" w:hAnsi="Arial"/>
          <w:sz w:val="17"/>
          <w:szCs w:val="17"/>
          <w:color w:val="auto"/>
        </w:rPr>
        <w:t xml:space="preserve"> in IV patients, and these mutations are associated with disorganized keratin filaments, skin barrier defects and microfractures in the stratum corneum leading to enhanced percutaneous allergen sensitization. Moreover, filaggrin and its breakdown products have significant additional functions in the skin including moisturizing the skin (via hygroscopic amino acids or “natural moisturizing factors”), effecting production of antimicrobial molecules (particularly against </w:t>
      </w:r>
      <w:r>
        <w:rPr>
          <w:rFonts w:ascii="Arial" w:cs="Arial" w:eastAsia="Arial" w:hAnsi="Arial"/>
          <w:sz w:val="17"/>
          <w:szCs w:val="17"/>
          <w:i w:val="1"/>
          <w:iCs w:val="1"/>
          <w:color w:val="auto"/>
        </w:rPr>
        <w:t>S. aureus</w:t>
      </w:r>
      <w:r>
        <w:rPr>
          <w:rFonts w:ascii="Arial" w:cs="Arial" w:eastAsia="Arial" w:hAnsi="Arial"/>
          <w:sz w:val="17"/>
          <w:szCs w:val="17"/>
          <w:color w:val="auto"/>
        </w:rPr>
        <w:t>) and maintaining both a beneficial lipid profile and pH in the skin.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are few effective therapies for the treatment of IV. Current treatment options for IV include primarily topical water evaporation suppressants (e.g., sodium chloride, urea, lactic acid, salicylic acid), and, to a lesser extent, moisturizers (e.g., glycerol, propylene glycol,). Topical retinoids may also be prescribed in an effort to slow the body’s production of skin cells. However, long-term retinoid use is not ideal. Of particular concern is the teratogenic effect of all retinoids, which limits their use in women of child-bearing potential. Chronic toxicities from long term therapy with retinoids may result in skeletal abnormalities. Furthermore, the chronic use of retinoids in children may inhibit their growth. Notably, many patients with IV experience a significantly reduced quality of life, due to self-consciousness and social embarrassment, and see a negative impact on domestic life, educational/professional lives and even leisure/sports activities.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solution – ATR-01 for the treatment of ichthyosis vulgaris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now known that IV is caused by loss-of-function mutations in the gene encoding filaggrin, leading to disorganized keratin filaments, skin barrier defects and microfractures in the stratum corneum, and resulting in enhanced percutaneous allergen sensitization as well as bacterial and viral skin infection. We are developing ATR-01 as a novel treatment modality for IV that directly addresses the disease pathophysiology. ATR-01 consists of FLG5-6 functional unit of the human FLG protein with an attached cell penetrating peptide. The goal is to supplement the skin with stable delivery of hFLG via topical application and deeper skin penetration with a cell penetrating peptide.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i w:val="1"/>
          <w:iCs w:val="1"/>
          <w:color w:val="auto"/>
        </w:rPr>
        <w:t>Preclinical data for ATR-01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Human FLG units (domains 9-10) were evaluated on human skin explants (from plastic surgery) </w:t>
      </w:r>
      <w:r>
        <w:rPr>
          <w:rFonts w:ascii="Arial" w:cs="Arial" w:eastAsia="Arial" w:hAnsi="Arial"/>
          <w:sz w:val="18"/>
          <w:szCs w:val="18"/>
          <w:i w:val="1"/>
          <w:iCs w:val="1"/>
          <w:color w:val="auto"/>
        </w:rPr>
        <w:t>ex vivo</w:t>
      </w:r>
      <w:r>
        <w:rPr>
          <w:rFonts w:ascii="Arial" w:cs="Arial" w:eastAsia="Arial" w:hAnsi="Arial"/>
          <w:sz w:val="18"/>
          <w:szCs w:val="18"/>
          <w:color w:val="auto"/>
        </w:rPr>
        <w:t>. The skin barrier of the explants was compromised by repeated tape-stripping such that transepidermal water loss, or TEWL values were significantly increased compared to normal skin. As shown in the example below, daily topical application of a human filaggrin unit with a cell penetrating peptide for 5 days resulted in a dose -dependent (not shown) rapid improvement in TEWL, suggesting improved skin barrier. Thus, topical delivery of a recombinant hFLG unit coupled with a cell penetrating peptide can improve/accelerate the repair of damaged human skin barrier.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128270</wp:posOffset>
            </wp:positionV>
            <wp:extent cx="5400675" cy="2434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0067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Figure 10: Topical filaggrin application on tape stripped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human skin following human filaggrin application.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Lastly, we have shown that topical filaggrin can improve skin barrier defects in filaggrin-deficient mouse models. Recombinant mouse filaggrin, or mFlg, was applied to the tail of flaky tail, or FT, mice (a mouse model that has a knockout in the </w:t>
      </w:r>
      <w:r>
        <w:rPr>
          <w:rFonts w:ascii="Arial" w:cs="Arial" w:eastAsia="Arial" w:hAnsi="Arial"/>
          <w:sz w:val="16"/>
          <w:szCs w:val="16"/>
          <w:i w:val="1"/>
          <w:iCs w:val="1"/>
          <w:color w:val="auto"/>
        </w:rPr>
        <w:t>filaggrin</w:t>
      </w:r>
      <w:r>
        <w:rPr>
          <w:rFonts w:ascii="Arial" w:cs="Arial" w:eastAsia="Arial" w:hAnsi="Arial"/>
          <w:sz w:val="16"/>
          <w:szCs w:val="16"/>
          <w:color w:val="auto"/>
        </w:rPr>
        <w:t xml:space="preserve"> gene) once daily for 2 weeks (50µg total</w:t>
      </w:r>
    </w:p>
    <w:p>
      <w:pPr>
        <w:jc w:val="both"/>
        <w:spacing w:after="0" w:line="249" w:lineRule="auto"/>
        <w:rPr>
          <w:sz w:val="20"/>
          <w:szCs w:val="20"/>
          <w:color w:val="auto"/>
        </w:rPr>
      </w:pPr>
      <w:r>
        <w:rPr>
          <w:rFonts w:ascii="Arial" w:cs="Arial" w:eastAsia="Arial" w:hAnsi="Arial"/>
          <w:sz w:val="17"/>
          <w:szCs w:val="17"/>
          <w:color w:val="auto"/>
        </w:rPr>
        <w:t>protein/tail sections or 15.2 µg total protein/cm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Daily treatment with mFlg significantly improved transepidermal water loss in FT mice when treated (FT+FLG group) compared to vehicle (“baseline” group). The third group on the X axis is a normal, control, wild type group (WT) that does not have the </w:t>
      </w:r>
      <w:r>
        <w:rPr>
          <w:rFonts w:ascii="Arial" w:cs="Arial" w:eastAsia="Arial" w:hAnsi="Arial"/>
          <w:sz w:val="17"/>
          <w:szCs w:val="17"/>
          <w:i w:val="1"/>
          <w:iCs w:val="1"/>
          <w:color w:val="auto"/>
        </w:rPr>
        <w:t xml:space="preserve">filaggrin </w:t>
      </w:r>
      <w:r>
        <w:rPr>
          <w:rFonts w:ascii="Arial" w:cs="Arial" w:eastAsia="Arial" w:hAnsi="Arial"/>
          <w:sz w:val="17"/>
          <w:szCs w:val="17"/>
          <w:color w:val="auto"/>
        </w:rPr>
        <w:t>gene knocked out. Treatment of damaged mouse skin with recombinant mFlg combined to a cell penetrating peptide improved damaged mouse</w:t>
      </w:r>
      <w:r>
        <w:rPr>
          <w:rFonts w:ascii="Arial" w:cs="Arial" w:eastAsia="Arial" w:hAnsi="Arial"/>
          <w:sz w:val="17"/>
          <w:szCs w:val="17"/>
          <w:i w:val="1"/>
          <w:iCs w:val="1"/>
          <w:color w:val="auto"/>
        </w:rPr>
        <w:t xml:space="preserve"> </w:t>
      </w:r>
      <w:r>
        <w:rPr>
          <w:rFonts w:ascii="Arial" w:cs="Arial" w:eastAsia="Arial" w:hAnsi="Arial"/>
          <w:sz w:val="17"/>
          <w:szCs w:val="17"/>
          <w:color w:val="auto"/>
        </w:rPr>
        <w:t>skin barrier (Figure A below). Additionally, histological analysis of the epidermis of the mouse tail sections showed tendency for improved stratum corneum thickness with mFlg treatment (Figure B below). In this graph, the Y axis represents thickening of the stratum corneum, which starts to fractionate or scale after growing past a normal thickness. Treatment with mFlg improved the thickness in four of six of the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132715</wp:posOffset>
            </wp:positionV>
            <wp:extent cx="5048885" cy="2048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4888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Potential Product Candidates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microbial genetic technology that analyzes, predicts and engineers the proteins, peptides and molecules made by skin microbes. Our ability to genetically engineer intractable microbial species is uniquely leveraged by our exclusive license to the SyMPL technology.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Bayer Joint Development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December 2019, we entered into a Joint Development Agreement, or JDA, with Bayer pursuant to which we agreed to the joint development of certain strains selected from our proprietary microbial library. We and Bayer have agreed to cooperate in the identification and in vitro and ex vivo characterization of microbial strains for topical formulations. Bayer paid us a one-time $150,000 payment upon execution of the JDA and has agreed to reimburse us for our development costs. In October 2021, Bayer expanded the option agreement and paid us $375,000 for additional characterization work. We have granted Bayer an option to acquire an exclusive royalty bearing license for up to six strains subject to development activities under the JDA, including an exclusive royalty bearing license to any related patent rights. After screening through hundreds of strains, we and Bayer have selected two particular strains to move forward with in vitro and ex vivo characterization which we intend to develop as potential over-the-counter cosmetic products. We expect to complete the characterization work and deliver the data to Bayer in the third quarter of 2023, at which time Bayer will have 12 months to exercise its option to license the strains and related patents. Upon the conclusion of the characterization studies and our delivery of the data to Bayer, the</w:t>
      </w:r>
    </w:p>
    <w:p>
      <w:pPr>
        <w:sectPr>
          <w:pgSz w:w="11900" w:h="16838" w:orient="portrait"/>
          <w:cols w:equalWidth="0" w:num="1">
            <w:col w:w="11240"/>
          </w:cols>
          <w:pgMar w:left="320" w:top="665" w:right="339" w:bottom="0" w:gutter="0" w:footer="0" w:header="0"/>
        </w:sectPr>
      </w:pPr>
    </w:p>
    <w:bookmarkStart w:id="76" w:name="page77"/>
    <w:bookmarkEnd w:id="76"/>
    <w:p>
      <w:pPr>
        <w:jc w:val="both"/>
        <w:spacing w:after="0" w:line="342" w:lineRule="auto"/>
        <w:rPr>
          <w:sz w:val="20"/>
          <w:szCs w:val="20"/>
          <w:color w:val="auto"/>
        </w:rPr>
      </w:pPr>
      <w:r>
        <w:rPr>
          <w:rFonts w:ascii="Arial" w:cs="Arial" w:eastAsia="Arial" w:hAnsi="Arial"/>
          <w:sz w:val="16"/>
          <w:szCs w:val="16"/>
          <w:color w:val="auto"/>
        </w:rPr>
        <w:t>JDA will end but for Bayer’s option to license the strains and related patents. As of the date of this prospectus, we have not negotiated a commercial license agreement with Bayer and we will not do so until such time, if ever, as Bayer exercises its option to acquire an exclusive royalty bearing license.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September 2020, Bayer’s venture capital group, LEAPS by Bayer, purchased $8 million of our Series B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do not own or operate manufacturing facilities for the production of our current product candidates. We currently rely on third-party contract manufacturers for all of our required raw materials, manufacturing devices and active pharmaceutical ingredients and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the manufacture of Phase 3 clinical trials 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bio-pharmaceutical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other biopharmaceutical companies, academic institutions and governmental agencies as well as public and private research institutions. Any drug candidates that we successfully develop and commercialize will compete with existing treatments and new treatments that may become available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Netherton syndrome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With respect to Netherton syndrome, no drug has been approved by the FDA, specifically for Netherton syndrome, to date. Standard of care includes cleansing of the skin with a gentle/soft non-detergent liquid cleansing oil, preferably with an acidic pH (5). Because Netherton syndrome patient skin is most often dry, scaly and peeling, emollients and moisturizers are also often used. Keratolytics such as salicylic acid, urea or alpha-hydroxy acids are often irritative and not well tolerated by Netherton syndrome patients. The skin of Netherton syndrome patients is prone to frequent bacterial infections. Limited infections are treated with topical antibiotics for a short period of up to 2 weeks. Oral antibiotics may also be used to treat the pathogenic </w:t>
      </w:r>
      <w:r>
        <w:rPr>
          <w:rFonts w:ascii="Arial" w:cs="Arial" w:eastAsia="Arial" w:hAnsi="Arial"/>
          <w:sz w:val="16"/>
          <w:szCs w:val="16"/>
          <w:i w:val="1"/>
          <w:iCs w:val="1"/>
          <w:color w:val="auto"/>
        </w:rPr>
        <w:t xml:space="preserve">Staphylococcus aureus </w:t>
      </w:r>
      <w:r>
        <w:rPr>
          <w:rFonts w:ascii="Arial" w:cs="Arial" w:eastAsia="Arial" w:hAnsi="Arial"/>
          <w:sz w:val="16"/>
          <w:szCs w:val="16"/>
          <w:color w:val="auto"/>
        </w:rPr>
        <w:t>and</w:t>
      </w:r>
      <w:r>
        <w:rPr>
          <w:rFonts w:ascii="Arial" w:cs="Arial" w:eastAsia="Arial" w:hAnsi="Arial"/>
          <w:sz w:val="16"/>
          <w:szCs w:val="16"/>
          <w:i w:val="1"/>
          <w:iCs w:val="1"/>
          <w:color w:val="auto"/>
        </w:rPr>
        <w:t xml:space="preserve"> Streptococcus </w:t>
      </w:r>
      <w:r>
        <w:rPr>
          <w:rFonts w:ascii="Arial" w:cs="Arial" w:eastAsia="Arial" w:hAnsi="Arial"/>
          <w:sz w:val="16"/>
          <w:szCs w:val="16"/>
          <w:color w:val="auto"/>
        </w:rPr>
        <w:t>strains that can drive more extreme infections. Bleach baths are also recommended two to three times a week for</w:t>
      </w:r>
      <w:r>
        <w:rPr>
          <w:rFonts w:ascii="Arial" w:cs="Arial" w:eastAsia="Arial" w:hAnsi="Arial"/>
          <w:sz w:val="16"/>
          <w:szCs w:val="16"/>
          <w:i w:val="1"/>
          <w:iCs w:val="1"/>
          <w:color w:val="auto"/>
        </w:rPr>
        <w:t xml:space="preserve"> </w:t>
      </w:r>
      <w:r>
        <w:rPr>
          <w:rFonts w:ascii="Arial" w:cs="Arial" w:eastAsia="Arial" w:hAnsi="Arial"/>
          <w:sz w:val="16"/>
          <w:szCs w:val="16"/>
          <w:color w:val="auto"/>
        </w:rPr>
        <w:t>their antimicrobial effects. Topical corticosteroids are often used to treat the inflammatory and hyperproliferation associated with non-infected Netherton syndrome lesions, but due to their adverse effects, must be limited. These adverse events include aminoaciduria, Cushing syndrome, skin atrophy, adrenal insufficiency, growth retardation, hypertension and weakness. Overuse of topical steroids can even aggravate the defective skin barrier by inducing loss of the stratum corneum. Systemic retinoids have shown varying degrees of efficacy in Netherton syndrome, but also carry bone toxicity and teratogenicity as adverse effects. Topical calcineurin inhibitors have been used to reduce erythema (redness) but patients have shown a tachyphylaxis and reduced efficacy with prolonged treatment. These immunomodulators also carry risks of serious adverse effects including increased risk of infections, swelling, burning sensations and tingling. Phototherapy (narrowband UVB (NB-UVB) and psoralen-UVA (PUVA)) has also been investigated in Netherton syndrome patients but has been limited due to its potential to cause erythema and increases in the risk of skin cancer.</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aware that Sixera Pharma initiated a clinical trial in Europe with SXR-1096, a topical small molecule KLK inhibitor in December 2021 for Netherton syndrome. Krystal Biotech, MatriSys, Quoin and BridgeBio have reported they are developing Netherton syndrome programs that are at a pre-clinical stage.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both"/>
        <w:ind w:firstLine="648"/>
        <w:spacing w:after="0" w:line="288"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ATR-12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EGFRi Associated Rash</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date, no drug has been specifically approved by the FDA for the treatment of EGFRi associated rash. The majority of patients (estimated to be up to 90%) treated continuously with anti-EGFR therapies suffer from dermatological adverse events, especially papulopustular rash, pruritus (itching), xerosis (dryness), and paronychia (nail infections). Papulopustular or acneiform rash is the most common adverse event of EGFRis on the skin. This rash negatively impacts compliance with EGFRi treatment in many patients. Dose modification or discontinuation treatment occurs in severe cases. Because evidence-based controlled trials are still very sparse, treatment of EGFRi skin toxicity primarily relies on physician experience, and recommendations from expert consensus conferences. As a result, there are geographical variations and even inconsistencies in the clinical treatment of EGFRi skin rash. Topical corticosteroids are avoided in Europe with respect to acneiform rash, but are often used in the United States. Furthermore, topical treatment is frequently customized to the individual patient and may change on a case-by-case basis. No topical treatment scheme is universally applicable for all patients.</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aware of the following Phase 2 programs developing investigational drug candidates for EGFRi associated rash. Lutris Pharma is developing LUT014, a topical B-Raf inhibitor, in the US and Israel. Daewoong Pharmaceutical Co. Ltd. is developing DWP708 in Korea.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future in-licensing opportunities to develop, strengthen and maintain the strength of our position in the field of gene therapy that may be important for the development of our business. Additional regulatory protection may also be afforded through data exclusivity, market exclusivity and patent-term extensions where available.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own or exclusively license two issued U.S. patents, four pending U.S. patent applications, one pending PCT application and 38 other foreign national-stage applications, including three European regional-phase applications that are important to the development of our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know-how or trade secret rights to protect other technologies that may be used to manufacture and develop our live biotherapeutic products. As described below, we are a party to exclusive license agreements that grant us rights to use specific technologies in our live biotherapeutic products and in the manufacturing and development of our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b w:val="1"/>
          <w:bCs w:val="1"/>
          <w:i w:val="1"/>
          <w:iCs w:val="1"/>
          <w:color w:val="auto"/>
        </w:rPr>
        <w:t>Our Patent Portfolio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patent portfolio has broad coverage for therapeutic bacteria pharmaceutical compositions containing these therapeutic bacteria for treating abnormal skin conditions and methods of making and using these recombinant bacteria. In our broadest filing, we have secured a US patent that protects pharmaceutical compositions for treating abnormal skin conditions using a bacterial strain expressing a therapeutically effective amount of a recombinant polypeptide. This patent expires in May 2035. Specifically, this issued patent covers a pharmaceutical composition containing one or more of the following bacterial strains: Bifidobacterium, Brevibacterium, Propionibacterium, Lactococcus, Streptococcus, Staphylococcus, Lactobacillus, Enterococcus, Pediococcus, Leuconostoc, or Oenococcus, wherein the bacterial strain has been engineered to produce a therapeutical polypeptide for treating the abnormal skin conditions. We believe that this patent gives us broad protection for using recombinant bacteria to treat skin diseases and disorders. through its expiration in May 2035.</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Patent applications directed to our most advanced programs are summarized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ATR-12</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ATR-12 product candidate is subject to two issued US patents, four pending US patent applications, and 26 pending foreign applications. These patents and patent applications represent four families of claims covering the pharmaceutical composition of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expressing a recombinant therapeutic polypeptide, the auxotrophic strain of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and the recombinant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strain expressing a therapeutic LEKTI protein. One of the issued US patents covers a recombinant bacteria containing a therapeutic polypeptide for treating abnormal skin conditions and expires in 2035. The second issued US patent covers an auxotrophic </w:t>
      </w:r>
      <w:r>
        <w:rPr>
          <w:rFonts w:ascii="Arial" w:cs="Arial" w:eastAsia="Arial" w:hAnsi="Arial"/>
          <w:sz w:val="18"/>
          <w:szCs w:val="18"/>
          <w:i w:val="1"/>
          <w:iCs w:val="1"/>
          <w:color w:val="auto"/>
        </w:rPr>
        <w:t>S. epidermidis</w:t>
      </w:r>
      <w:r>
        <w:rPr>
          <w:rFonts w:ascii="Arial" w:cs="Arial" w:eastAsia="Arial" w:hAnsi="Arial"/>
          <w:sz w:val="18"/>
          <w:szCs w:val="18"/>
          <w:color w:val="auto"/>
        </w:rPr>
        <w:t xml:space="preserve"> that will expire in 2039. If additional patents were to grant from the pending patent applications, they would expire between 2035 and 2039.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ATR-04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ATR-12 product candidate is subject to one issued US patent, two pending US patent applications, and 17 pending foreign applications. These patents and patent applications represent two families of claims directed to auxotrophic strains of bacteria and their therapeutic use for treating disease. We have one issued US patent that covers ATR-04. If additional patents were to grant, they would also expire in 2039. Overall, these two families contain 1 issued US patent, 2 pending US applications, and 17 pending foreign applications.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 Term and Term Extension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or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jc w:val="both"/>
        <w:ind w:firstLine="648"/>
        <w:spacing w:after="0" w:line="259" w:lineRule="auto"/>
        <w:rPr>
          <w:sz w:val="20"/>
          <w:szCs w:val="20"/>
          <w:color w:val="auto"/>
        </w:rPr>
      </w:pPr>
      <w:r>
        <w:rPr>
          <w:rFonts w:ascii="Arial" w:cs="Arial" w:eastAsia="Arial" w:hAnsi="Arial"/>
          <w:sz w:val="18"/>
          <w:szCs w:val="18"/>
          <w:color w:val="auto"/>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 Secrets and Know-How</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manufacturing our live biotherapeutic products.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w:t>
      </w:r>
      <w:r>
        <w:rPr>
          <w:rFonts w:ascii="Arial" w:cs="Arial" w:eastAsia="Arial" w:hAnsi="Arial"/>
          <w:sz w:val="17"/>
          <w:szCs w:val="17"/>
          <w:i w:val="1"/>
          <w:iCs w:val="1"/>
          <w:color w:val="auto"/>
        </w:rPr>
        <w:t>Risk Factors—Risks Related to Our Intellectual Property</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License Agreement with Fred Hutchison Cancer Center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2022, we entered into an Exclusive License Agreement with the Fred Hutchinson Cancer Center, or Fred Hutch. Pursuant to our agreement with Fred Hutch, we obtained an exclusive worldwide license under certain patents related to SyMPL technologies developed and owned by Fred Hutch to develop, make, manufacture, have manufactured, distribute, have distributed, use, research, improve, import, offer to sell and sell and otherwise commercialize products that are covered by such patents. Such exclusive license is subject to certain rights retained by Fred Hutch and also the U.S. government. The patent rights licensed to us by Fred Hutch consist of two families of patent applications directed to methods of bypassing restriction modification systems in order to more easily introduce xenogeneic DNA. These patents applications and any patents that issue from these applications will allow us to produce more modified microbes for the treatment of disease. Our current product candidates do not incorporate the SyMPL technology platform, but we expect that some or all of our future product candidates will do so. If issued, these two families will expire in 2037 and 2040, respectively.</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consideration of the license granted to us under the Fred Hutch license agreement, we paid Fred Hutch a nominal upfront payment. In addition, we are required to pay Fred Hutch certain development and commercial milestone payments and running single digit royalty on net sales of the licensed products. The Fred Hutch agreement also requires us to reimburse Fred Hutch for the cost of the prosecution and maintenance of the licensed patents.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Fred Hutch license agreement, we are required to use commercially reasonable efforts to bring a licensed product to market through a vigorous and diligent program for exploitation of the licensed patent rights. The term of the Fred Hutch license agreement will continue until the later of (i) the expiration of the licensed patents or (ii) ten years from the first sale of a licensed product. We may terminate the Fred Hutch license agreement at will at any time upon prior written notice to Fred Hutch. Fred Hutch has the right to terminate the Fred Hutch license agreement if we materially breach the agreement and fail to cure such breach within a specified cure period or if we become bankrupt or insolvent. For more information related to the intellectual property acquired pursuant to the Fred Hutch license agreement, see the section titled “</w:t>
      </w:r>
      <w:r>
        <w:rPr>
          <w:rFonts w:ascii="Arial" w:cs="Arial" w:eastAsia="Arial" w:hAnsi="Arial"/>
          <w:sz w:val="18"/>
          <w:szCs w:val="18"/>
          <w:i w:val="1"/>
          <w:iCs w:val="1"/>
          <w:color w:val="auto"/>
        </w:rPr>
        <w:t>Business-Licenses and 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Rights</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hold registered trademarks for our corporate name and design in the U.S. and in seven foreign countries.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Pharmaceutical companies are subject to extensive regulation by foreign, federal, state and local agencies, such as the U.S. FDA, and various similar agencies in most countries worldwide. The research, development, testing, manufacture, distribution, packaging, labeling, storage, recordkeeping, marketing and sale of pharmaceutical products are subject to government regulation in the U.S. and various foreign countries. Additionally, in the U.S., we must follow rules and regulations established by the FDA requiring the presentation of data indicating that our product candidates are safe and effective and are manufactured in accordance with cGMP regulations. If we do not comply with applicable requirements, we may be fined, the government may refuse to approve our marketing applications or allow us to manufacture or market our product candidates, and we may be criminally prosecuted. We, our manufacturers and clinical research organizations may also be subject to regulations under other foreign, federal, state and local laws, including, but not limited to, the U.S. Occupational Safety and Health Act, the Resource Conservation and Recovery Act, the Clean Air Act and import, export and customs regulations as well as the laws and regulations of other countries. The U.S. government has increased its enforcement activity regarding illegal marketing practices domestically and internationally. As a result, pharmaceutical companies must ensure their compliance with the Foreign Corrupt Practices Act and federal healthcare fraud and abuse laws, including the False Claims Act.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regulatory requirements impact our operations and differ from one country to another, so that securing the applicable regulatory approvals of one country does not imply the approval of another country. The approval procedures involve high costs and are manpower intensive, usually extend over many years and require highly skilled and professional resources.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Market Approval Process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U.S., our product candidates are regulated by the FDA as biologics under the Federal Food, Drug, and Cosmetic Act, or FDCA, the Public Health Service Act, or PHSA, and regulations promulgated by the FDA.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customer notification, product recalls, product seizures, refusal to grant export or import approval, total or partial suspension of production or distribution, consent decrees, injunctions, fines, and civil or criminal investigations and penalties brought by the FDA or the U.S. Department of Justice, or other governmental entities.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usually required to be taken before a new biologic may be marketed in the U.S. generally include:</w:t>
      </w:r>
    </w:p>
    <w:p>
      <w:pPr>
        <w:spacing w:after="0" w:line="225" w:lineRule="exact"/>
        <w:rPr>
          <w:sz w:val="20"/>
          <w:szCs w:val="20"/>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regulation;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treatment site before the trial is commenced;</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performance of adequate and well controlled human clinical trials to establish the safety, purity and potency of the proposed biologic product candidate for its proposed indication for use;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submission of data supporting safety and efficacy as well as detailed information on the manufacture and composition of the product in clinical development and proposed labeling;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standards and to assure that the facilities, methods and controls are adequate to preserve the biological product’s continued safety, purity and potency, and of selected clinical investigation sites to assess compliance with Good Clinical Practices, or GCP;</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CGP requirements and the integrity of clinical data in support of the BLA;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for the proposed indication for 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REMS and any post-approval studies required by the FDA.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Studies and Investigational New Drug Application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Preclinical tests include laboratory evaluations of product chemistry, formulation and stability, as well as animal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delay in initiation of a phase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Clinical trials involve the administration of the investigational product candidate to healthy volunteers or patients with the disease to be treated under the supervision of a qualified principal investigator in accordance with good clinical practice, or GCP, requirements. Clinical studies are conducted under protocols detailing, among other things, the objectives of the study, what types of patients may enter the study, schedules of tests and procedures, drugs, dosages, and length of study, as well as the parameters to be used in monitoring safety, and the efficacy criteria to be evaluated. A protocol for each clinical study and any subsequent protocol amendments must be submitted to the FDA as part of the IND process.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jc w:val="both"/>
        <w:ind w:firstLine="648"/>
        <w:spacing w:after="0" w:line="257" w:lineRule="auto"/>
        <w:rPr>
          <w:sz w:val="20"/>
          <w:szCs w:val="20"/>
          <w:color w:val="auto"/>
        </w:rPr>
      </w:pPr>
      <w:r>
        <w:rPr>
          <w:rFonts w:ascii="Arial" w:cs="Arial" w:eastAsia="Arial" w:hAnsi="Arial"/>
          <w:sz w:val="18"/>
          <w:szCs w:val="18"/>
          <w:color w:val="auto"/>
        </w:rPr>
        <w:t>A sponsor who wishes to conduct a clinical trial outside the U.S. may, but need not, obtain FDA authorization to conduct the clinical trial under an IND. If a clinical trial outside the U.S.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 IRB, either centrally or individually, must also review each clinical trial at each institution at which the clinical trial will be conducted. The IRB will consider, among other things, clinical trial design, patient informed consent, ethical factors, the safety of human subjects, the possible liability of the institution, and, where appropriate, the protection of privacy of the human subjects. An IRB must operate in compliance with the FDA regulations. The FDA, IRB, or the clinical trial sponsor, or the principal investigator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studies are overseen by an independent group of qualified experts organized by the clinical study sponsor, known as a data safety monitoring board or committee. This group recommends whether or not a trial may move forward at designated check points based on access to certain data from the study. The clinical study sponsor may also suspend or terminate a clinical trial based on evolving business objectives and/or competitive climate.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Clinical trials are usually conducted in three sequential phases, but the phases may overlap or be combined. Annual progress detailing the results of the clinical trial phases must be submitted to the FDA.</w:t>
      </w:r>
    </w:p>
    <w:p>
      <w:pPr>
        <w:spacing w:after="0" w:line="170" w:lineRule="exact"/>
        <w:rPr>
          <w:sz w:val="20"/>
          <w:szCs w:val="20"/>
          <w:color w:val="auto"/>
        </w:rPr>
      </w:pPr>
    </w:p>
    <w:p>
      <w:pPr>
        <w:jc w:val="both"/>
        <w:ind w:left="980" w:hanging="324"/>
        <w:spacing w:after="0" w:line="273"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clinical trials are normally conducted in small groups of healthy volunteers to assess safety and tolerability of various dosing</w:t>
      </w:r>
      <w:r>
        <w:rPr>
          <w:rFonts w:ascii="Arial" w:cs="Arial" w:eastAsia="Arial" w:hAnsi="Arial"/>
          <w:sz w:val="17"/>
          <w:szCs w:val="17"/>
          <w:i w:val="1"/>
          <w:iCs w:val="1"/>
          <w:color w:val="auto"/>
        </w:rPr>
        <w:t xml:space="preserve"> </w:t>
      </w:r>
      <w:r>
        <w:rPr>
          <w:rFonts w:ascii="Arial" w:cs="Arial" w:eastAsia="Arial" w:hAnsi="Arial"/>
          <w:sz w:val="17"/>
          <w:szCs w:val="17"/>
          <w:color w:val="auto"/>
        </w:rPr>
        <w:t>regimens and pharmacokinetics. For some products for orphan, severe or life-threatening diseases, especially if the product may be too toxic to administer to healthy humans, the initial clinical trials may be conducted in individuals having a specific disease for which use the tested product is indicated. These trials in patients are often referred to as Phase 1b trials. If they include a design to establish a particular dose, they are commonly referred to as Phase 1b/2a clinical trials. Nevertheless, additional Phase 2 (sometimes called Phase 2b) clinical trials are often necessary to refine the final dose chosen to take into a pivotal Phase 3 clinical trial.</w:t>
      </w:r>
    </w:p>
    <w:p>
      <w:pPr>
        <w:spacing w:after="0" w:line="177" w:lineRule="exact"/>
        <w:rPr>
          <w:rFonts w:ascii="Arial" w:cs="Arial" w:eastAsia="Arial" w:hAnsi="Arial"/>
          <w:sz w:val="17"/>
          <w:szCs w:val="17"/>
          <w:color w:val="auto"/>
        </w:rPr>
      </w:pPr>
    </w:p>
    <w:p>
      <w:pPr>
        <w:jc w:val="both"/>
        <w:ind w:left="980" w:hanging="324"/>
        <w:spacing w:after="0" w:line="311"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product candidate for specific targeted indications and determine does tolerance and optimal dosage. Multiple Phase 2 clinical trials may be conducted by the sponsor to obtain information prior to beginning larger and more costly Phase 3 clinical trials.</w:t>
      </w:r>
    </w:p>
    <w:p>
      <w:pPr>
        <w:spacing w:after="0" w:line="148" w:lineRule="exact"/>
        <w:rPr>
          <w:rFonts w:ascii="Arial" w:cs="Arial" w:eastAsia="Arial" w:hAnsi="Arial"/>
          <w:sz w:val="16"/>
          <w:szCs w:val="16"/>
          <w:color w:val="auto"/>
        </w:rPr>
      </w:pPr>
    </w:p>
    <w:p>
      <w:pPr>
        <w:jc w:val="both"/>
        <w:ind w:left="980" w:hanging="324"/>
        <w:spacing w:after="0" w:line="255"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proceed if the Phase 2 clinical trials demonstrate that a dose range of the product candidate is potentially effective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an 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FDA may order the temporary or permanent discontinuation of a clinical study at any time or impose other sanctions if it believes that the clinical study is not being conducted in accordance with FDA requirements or that the participants are being exposed to an unacceptable health risk. 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data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b w:val="1"/>
          <w:bCs w:val="1"/>
          <w:i w:val="1"/>
          <w:iCs w:val="1"/>
          <w:color w:val="auto"/>
        </w:rPr>
        <w:t>Compliance with cGMP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product candidate moves through the clinical testing phases, manufacturing processes are further defined, refined, controlled and validated. The level of control and validation required by the FDA increases as clinical studies progress. The FDA typically will not approve a BLA application unless it determines that the manufacturing processes and facilities are in full compliance with cGMP requirements and able to assure consistent production of the product within required specifications. The PHSA emphasizes the importance of manufacturing control for products like biologics whose attributes cannot be precisely defined.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and the third-party manufacturers on which we rely for the manufacture of our product candidates and their respective components (including the API) are subject to requirements that drugs be manufactured, packaged and labeled in conformity with cGMPs.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Manufacturers and others involved in the manufacture and distribution of products must also register their establishments with the FDA and certain state regulatory bodies.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 Submission and Review</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Assuming completion of all required testing in accordance with all applicable regulatory requirements, detailed information on the product candidate is submitted to the FDA in the form of a BLA, requesting approval to market the product for one or more indications, together with payment of a user fee, unless waived. A BLA includes all relevant data available from pertinent nonclinical and clinical studies, including negative or ambiguous results as well as positive findings, together with detailed information on the chemistry, manufacture, controls and proposed labeling, among other things. To support marketing approval, the data submitted must be sufficient in quality and quantity to establish the safety and efficacy of the product candidate for its intended use to the satisfaction of the FDA. The FDA also conducts a pre-approval inspection of the manufacturer and laboratory prior to approval of the BLA.</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a BLA submission is accepted for filing, the FDA begins an in-depth review of the BLA. Under the Prescription Drug User Fee Act, or PDUFA, the FDA’s goal is to complete its initial review and respond to the applicant within ten months of submission, unless the application relates to an unmet medical need, or is for a serious or life-threatening indication, in which case the goal may be within six months of BLA submission. However, PDUFA goal dates are not legal mandates and the FDA response often occurs several months beyond the original PDUFA goal date. Further, the review process and the target response date under PDUFA may be extended if the FDA requests or the BLA sponsor otherwise provides additional information or clarification regarding information already provided in the BLA. The BLA review process can, accordingly, be very lengthy. During its review of a BLA, the FDA may refer the application to an advisory committee for review, evaluation and recommendation as to whether the application should be approved. The FDA is not bound by the recommendation of an advisory committee, but it typically follows such recommendations. Data from clinical studies are not always conclusive and the FDA and/or any advisory committee it appoints may interpret data differently than the applicant.</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After the FDA evaluates the BLA and inspects manufacturing facilities where the drug product and/or its API will be produced and tested, it will either approve commercial marketing of the drug product with prescribing information for specific indications or issue a complete response letter indicating that the application is not ready for approval and stating the conditions that must be met in order to secure approval of the BLA. If the complete response letter requires additional data and the applicant subsequently submits that data, the FDA nevertheless may ultimately decide that the BLA does not satisfy its criteria for approval. The FDA could also approve the BLA with a Risk Evaluation and Mitigation Strategies,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 Regulatory approval of products for serious or life-threatening indications may require that participants in clinical studies be followed for long periods to determine the overall survival benefit of the drug.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jc w:val="both"/>
        <w:ind w:firstLine="648"/>
        <w:spacing w:after="0" w:line="293" w:lineRule="auto"/>
        <w:rPr>
          <w:sz w:val="20"/>
          <w:szCs w:val="20"/>
          <w:color w:val="auto"/>
        </w:rPr>
      </w:pPr>
      <w:r>
        <w:rPr>
          <w:rFonts w:ascii="Arial" w:cs="Arial" w:eastAsia="Arial" w:hAnsi="Arial"/>
          <w:sz w:val="16"/>
          <w:szCs w:val="16"/>
          <w:color w:val="auto"/>
        </w:rPr>
        <w:t>If the FDA approves one of our product candidates, we will be required to comply with a number of post-approval regulatory requirements. We would be required to report, among other things, certain adverse reactions and production problems to the FDA, provide updated safety and efficacy information and comply with requirements concerning advertising and promotional labeling for any of our product candidates. Also, quality control and manufacturing procedures must continue to conform to cGMPs after approval, and the FDA periodically inspects manufacturing facilities to assess compliance with cGMPs, which imposes extensive procedural, substantive and record keeping requirements. If we seek to make certain changes to an approved product, such as certain manufacturing changes, we may need FDA review and approval before the change can be implemented.</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physicians may use products for indications that have not been approved by the FDA, we may not label or promote the product for an indication that has not been approved. Securing FDA approval for new indications is similar to the process for approval of the original indication and requires, among other things, submitting data from adequate and well-controlled studies that demonstrate the product’s safety and efficacy in the new indication. Even if such studies are conducted, the FDA may not approve any change in a timely fashion, or at all.</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FDA may also require post-marketing testing, or Phase 4 testing, as well as risk minimization action plans and surveillance to monitor the effects of an approved product or place conditions or an approval that could otherwise restrict the distribution or use of the product.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Fast Track, Breakthrough Therapy and Priority Review Designations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or in the event of an emergency. These programs are fast track designation, breakthrough therapy designation and priority review designation.</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jc w:val="both"/>
        <w:ind w:firstLine="648"/>
        <w:spacing w:after="0" w:line="254"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Fourth, the Secretary of Health and Human Services may authorize unapproved drugs and biologics to be marketed in the event an actual or potential emergency has been designated by the U.S. government. After an emergency has been designated, the FDA may issue an Emergency Use Authorization, or EUA, for the use of a specific product based on criteria established by the FDCA. An EUA is product specific and is subject to specific conditions and restrictions. Once the emergency underlying the EUA ends, then the EUA terminates.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Pediatric Rare Disease Designation and Priority Review Vouchers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or biologic for such disease or condition will be received from sales in the United States of such drug or biologic.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2026.</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Once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jc w:val="both"/>
        <w:ind w:firstLine="648"/>
        <w:spacing w:after="0" w:line="275" w:lineRule="auto"/>
        <w:rPr>
          <w:sz w:val="20"/>
          <w:szCs w:val="20"/>
          <w:color w:val="auto"/>
        </w:rPr>
      </w:pPr>
      <w:r>
        <w:rPr>
          <w:rFonts w:ascii="Arial" w:cs="Arial" w:eastAsia="Arial" w:hAnsi="Arial"/>
          <w:sz w:val="17"/>
          <w:szCs w:val="17"/>
          <w:color w:val="auto"/>
        </w:rPr>
        <w:t>After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6"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license approvals;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affecting fewer than 200,000 individuals in the United States, or in other limited cases. Orphan drug designation (ODD) provides for seven years of market exclusivity, independent of patent protection, to the company with ODD that brings a particular product to market. In addition, companies developing orphan drugs are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gain exclusivity, if a product that has orphan drug designation subsequently receives the first FDA approval for the disease or condition for which it has such designation, the product is entitled to the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In addition, doctors may prescribe products for off-label uses and undermine our exclusivity. Orphan drug exclusivity could block the approval of one of our product candidates for seven years if a competitor obtains approval for the same active moiety for the same indication before we do, unless we are able to demonstrate that our product is clinically superior.</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plan to pursue orphan drug designation and exclusivity for some of our product candidates in the United States, European Union, and other geographies of interest for specific products.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Patient Protection and Affordable Care Act, or ACA, which was signed into law on March 23, 2010, included a subtitle called the Biologics Price Competition and Innovation Act of 2009 or BPCIA. The BPCIA established a regulatory scheme authorizing the FDA to approve biosimilars and interchangeable biosimilars.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BPCIA, an application for a biosimilar product may not be submitted to the FDA until 4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Regulation Outside the United States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that govern,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b w:val="1"/>
          <w:bCs w:val="1"/>
          <w:i w:val="1"/>
          <w:iCs w:val="1"/>
          <w:color w:val="auto"/>
        </w:rPr>
        <w:t>Regulation and Marketing Authorization in the European Union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European Medicines Agency, or EMA, is the scientific agency of the European Union, or EU, that coordinates the evaluation and monitoring of new and approved medicinal products such as drugs and biologics. It is responsible for the scientific evaluation of applications for EU marketing authorizations, as well as the development of technical guidance and the provision of scientific advice to sponsors.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 regarding approval of medicinal products in the EU follows roughly the same lines as in the United States and likewise generally involves satisfactorily completing each of the following:</w:t>
      </w:r>
    </w:p>
    <w:p>
      <w:pPr>
        <w:spacing w:after="0" w:line="170"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submission to the relevant regulatory agencies in EU member states, or national authorities, of a clinical trial application, or CTA, for each clinical trial, which must be approved before human clinical trials may begin;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to establish the safety and efficacy of the product for each proposed indication;</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Marketing Authorisation Application, or MAA, which includes the data supporting safety and efficacy as well as detailed information on the manufacture and composition of the product in clinical development and proposed labeling;</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cGMP;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review and approval by the relevant national authority of the MAA before any commercial marketing, sale or shipment of the product.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Trial Approval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Requirements for the conduct of clinical trials in the EU including cGCP, are implemented in the currently Clinical Trials Directive 2001/20/EC and the GCP Directive 2005/28/EC. Pursuant to Directive 2001/20/EC and Directive 2005/28/EC, as amended, a system for the approval of clinical trials in the EU has been implemented through national legislation of the EU member states. Under this system, approval must be obtained from the competent national authority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jc w:val="both"/>
        <w:ind w:firstLine="648"/>
        <w:spacing w:after="0" w:line="257" w:lineRule="auto"/>
        <w:rPr>
          <w:sz w:val="20"/>
          <w:szCs w:val="20"/>
          <w:color w:val="auto"/>
        </w:rPr>
      </w:pPr>
      <w:r>
        <w:rPr>
          <w:rFonts w:ascii="Arial" w:cs="Arial" w:eastAsia="Arial" w:hAnsi="Arial"/>
          <w:sz w:val="18"/>
          <w:szCs w:val="18"/>
          <w:color w:val="auto"/>
        </w:rPr>
        <w:t>On January 31, 2022, the Clinical Trials Regulation (EU) No. 536/2014 replaced the current Clinical Trials Directive 2001/20/EC. To ensure that the rules for clinical trials are identical throughout the EU, the Clinical Trials Regulation (EU) No. 536/2014 was passed as a regulation which is directly applicable in all EU member states.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Regulation (EU) No 536/2014 aims to simplify and streamline the approval of clinical trial in the EU. The main characteristics of the regulation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streamlined application procedure via a single entry point, known as the Clinical Trials Information System;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single set of documents to be prepared and submitted for the application as well as simplified reporting procedures which will spare sponsors from submitting broadly identical information separately to various and different national authorities;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harmonized procedure for the assessment of applications for clinical trials, which is divided in two parts;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Strictly defined deadlines for the assessment of clinical trial application;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Authorization to market a product in the member states of the EU proceeds under one of four procedures: a centralized procedure, a mutual recognition procedure, a decentralized procedure or a national procedure.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Centralized Procedure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based on the opinion of the EMA, is automatically valid in all EU member states. Sponsors may elect to file an MAA through the centralized procedures for other classes of products.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centralized procedure is mandatory for certain types of products such as, medicines derived from biotechnology processes such as genetic engineering, advanced-therapy medicines such as gene-therapy or tissue engineered medicine, orphan medicines, and medicinal products containing a new active substance indicated for the treatment of HIV, AIDS, cancer, diabetes, neurodegenerative disorders, autoimmune and other immune dysfunctions, and viral diseases.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centralized authorization procedure is optional for other medicinal products if they contain a new active substance, if the applicant shows that the medicinal product concerned constitutes a significant therapeutic, scientific or technical innovation, or that the granting of authorization is in the public interest of the EU.</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b w:val="1"/>
          <w:bCs w:val="1"/>
          <w:i w:val="1"/>
          <w:iCs w:val="1"/>
          <w:color w:val="auto"/>
        </w:rPr>
        <w:t>Administration Procedure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centralized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active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Conditional Approval</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 Authorization Under Exceptional Circumstances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per Article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b w:val="1"/>
          <w:bCs w:val="1"/>
          <w:i w:val="1"/>
          <w:iCs w:val="1"/>
          <w:color w:val="auto"/>
        </w:rPr>
        <w:t>Pediatric Studies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The respective requirements for all marketing authorization procedures are laid down in Regulation (EC) No 1901/2006, the so 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Period of Authorization and Renewals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marketing authorization will be valid for five years in principle, and the marketing authorization may be renewed after five years on the basis of a re-evaluation of the risk-benefit balance by the EMA or by a national authority.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will be valid for an unlimited period, unless the European Commission or the national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Orphan drug designation provides a number of benefits, including fee reductions, regulatory assistance, and the possibility to apply for a centralized EU marketing authorization (see “—Government Regulation and Product Approval—Regulation Outside the United States—Centralized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b w:val="1"/>
          <w:bCs w:val="1"/>
          <w:i w:val="1"/>
          <w:iCs w:val="1"/>
          <w:color w:val="auto"/>
        </w:rPr>
        <w:t>Regulatory Data Protection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EU legislation also provides for a system of regulatory data and market exclusivity.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or biosimilar (abbreviated) application. During the additional two-year period of market exclusivity, a generic or biosimilar marketing authorization can be submitted, and the innovator’s data may be referenced, but no generic or biosimilar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“Item 4.B— Government Regulation and Product Approval—Regulation and Marketing Authorization in the European Union—Orphan Drug Designation and Exclusivity”). Depending upon the timing and duration of the EU marketing authorization process, products may be eligible for up to five years’ supplementary protection certificates, or SPCs. Such SPCs extend the rights under the basic patent for the drug.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Requirements After a Marketing Authorization Has Been Obtained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obtain authorization for a medicinal product in the EU, we will be required to comply with a range of requirements applicable to the manufacturing, marketing, promotion and sale of medicinal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Pharmacovigilance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for example, have to comply with the EU’s stringent pharmacovigilance or safety reporting rules, pursuant to which post-authorization studies and additional monitoring obligations can be imposed.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requirements relate to, for example, the manufacturing of products and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manufacturing of authorized drugs, for which a separate manufacturer’s license is mandatory, must be conducted in compliance with the EMA’s cGMP requirements and comparable requirements of other national authorities,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b w:val="1"/>
          <w:bCs w:val="1"/>
          <w:i w:val="1"/>
          <w:iCs w:val="1"/>
          <w:color w:val="auto"/>
        </w:rPr>
        <w:t>Marketing and Promotion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The applicable regulations aim to ensure that information provided by holders of marketing authorizations regarding their products is truthful, balanced and accurately reflects the safety and efficacy claims authorized by the EMA or by the national authority of the authorizing member state. Failure to comply with these requirements can result in adverse publicity, warning letters, corrective advertising and potential civil and criminal penalties.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products distributed in the United States, we will also be subject to additional healthcare regulation and enforcement by the federal government and the states in which we conduct our business. Applicable federal and state healthcare laws and regulations include the following:</w:t>
      </w:r>
    </w:p>
    <w:p>
      <w:pPr>
        <w:spacing w:after="0" w:line="146" w:lineRule="exact"/>
        <w:rPr>
          <w:sz w:val="20"/>
          <w:szCs w:val="20"/>
          <w:color w:val="auto"/>
        </w:rPr>
      </w:pPr>
    </w:p>
    <w:p>
      <w:pPr>
        <w:jc w:val="both"/>
        <w:ind w:left="980" w:hanging="324"/>
        <w:spacing w:after="0" w:line="273"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Medicaid, or other governmental programs. A person or entity does not need to have actual knowledge of the federal anti-kickback statute or specific intent to violate it to have committed a violation; in addition, items or services resulting from a violation of the federal anti-kickback statute may constitute a false or fraudulent claim for purposes of the False Claims Act;</w:t>
      </w:r>
    </w:p>
    <w:p>
      <w:pPr>
        <w:spacing w:after="0" w:line="177"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Ethics in Patient Referrals Act, commonly referred to as the Stark Law, and its corresponding regulations, prohibit physicians from referring patients for designated health services (including outpatient drugs) reimbursed under the Medicare or Medicaid programs to entities with which the physicians or their immediate family members have a financial relationship or an ownership interest, subject to narrow regulatory exceptions, and prohibits those entities from submitting claims to Medicare or Medicaid for payment of items or services provided to a referred beneficiary;</w:t>
      </w:r>
    </w:p>
    <w:p>
      <w:pPr>
        <w:spacing w:after="0" w:line="187"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5"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of 1996,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 This statute also prohibits knowingly and willfully falsifying, concealing or covering up a material fact or making any materially false statement in connection with the delivery of or payment for healthcare benefits, items, or services;</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 and</w:t>
      </w:r>
    </w:p>
    <w:p>
      <w:pPr>
        <w:spacing w:after="0" w:line="157"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Reimbursement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Sales of our product candidates in the United States may depend, in part, on the extent to which the costs of the product candidates may be covered by third-party payers, such as government health programs, commercial insurance and managed health care organizations. These third-party payers are increasingly challenging the prices charged for medical products and services. Additionally, the containment of health 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payers do not consider our product candidates to be cost-effective compared to other available therapies, they may not cover our product candidates after approval as a benefit under their plans or, if they do, the level of payment may not be sufficient to allow us to sell our product candidates on a profitable basis.</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jc w:val="both"/>
        <w:ind w:firstLine="648"/>
        <w:spacing w:after="0" w:line="25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2% per fiscal year, effective April 1, 2013 and, due to subsequent legislative amendments to the statute, will stay in effect through 2027, unless additional Congressional action is taken;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a number of these, and other proposed measures may require authorization through additional legislation to become effective, Congress has indicated that it will continue to seek new legislative measures to control drug costs.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jc w:val="both"/>
        <w:ind w:firstLine="648"/>
        <w:spacing w:after="0" w:line="254" w:lineRule="auto"/>
        <w:rPr>
          <w:sz w:val="20"/>
          <w:szCs w:val="20"/>
          <w:color w:val="auto"/>
        </w:rPr>
      </w:pPr>
      <w:r>
        <w:rPr>
          <w:rFonts w:ascii="Arial" w:cs="Arial" w:eastAsia="Arial" w:hAnsi="Arial"/>
          <w:sz w:val="18"/>
          <w:szCs w:val="18"/>
          <w:color w:val="auto"/>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prospectus, we have ten employees and full-time consultants, including our executive officers, providing management and financial services, and general administrative responsibilities. We believe that we maintain a satisfactory working relationship with our employees, and we have not experienced any significant labor disputes or any difficulty in recruiting staff for our operations. None of our employees are represented by a labor union.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executive offices are located in approximately 12,030 square feet of leased office and laboratory space at 21 Business Park Drive, Branford, Connecticut 06405. The lease expires in 2027, subject to our option to extend the lease for two additional five-year terms. We currently pay $14,035 per month under the lease, which will increase to $14,385 in 2024, plus our pro rata share of certain operating expenses of the property.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lease approximately 1,093 square feet of additional laboratory space, which is located at 93 Shennecossett Road, Groton, Connecticut. The lease expires in April 2023, however, we have the option to extend the lease for two additional one-year terms. We pay $7,235 per month under the lease plus our pro rata share of certain operating expenses of the property. The lease expires in April 2023 and we are currently negotiating an extension of the lease.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lease approximately 1,868 square feet of office and laboratory space, which is located at 500 Cartier Boulevard, Laval, Quebec,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pay $6,583 per month under the lease. The lease expired in April 2023 and we are currently negotiating an extension of the lease.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our facilities are adequate to meet our current needs and that additional space can be obtained on commercially reasonable terms as needed.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Officers, Directors and Director Nominees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names, ages and positions of (i) our current executive officers and directors, (ii) our Chief Operating Officer upon the close of this offering and (iii) our director nominees who will become directors upon the close of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Name</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Age</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Position</w:t>
            </w:r>
          </w:p>
        </w:tc>
      </w:tr>
      <w:tr>
        <w:trPr>
          <w:trHeight w:val="20"/>
        </w:trPr>
        <w:tc>
          <w:tcPr>
            <w:tcW w:w="3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Francisco D. Salva</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53</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Norman Staskey</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53</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Travis Whitfill</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33</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and Director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Andrew McClary, MD</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38</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590"/>
        </w:trPr>
        <w:tc>
          <w:tcPr>
            <w:tcW w:w="3500" w:type="dxa"/>
            <w:vAlign w:val="bottom"/>
          </w:tcPr>
          <w:p>
            <w:pPr>
              <w:spacing w:after="0"/>
              <w:rPr>
                <w:sz w:val="20"/>
                <w:szCs w:val="20"/>
                <w:color w:val="auto"/>
              </w:rPr>
            </w:pPr>
            <w:r>
              <w:rPr>
                <w:rFonts w:ascii="Arial" w:cs="Arial" w:eastAsia="Arial" w:hAnsi="Arial"/>
                <w:sz w:val="18"/>
                <w:szCs w:val="18"/>
                <w:color w:val="auto"/>
              </w:rPr>
              <w:t>Barbara Ryan</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63</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Independent Director Nominee</w:t>
            </w:r>
            <w:r>
              <w:rPr>
                <w:rFonts w:ascii="Arial" w:cs="Arial" w:eastAsia="Arial" w:hAnsi="Arial"/>
                <w:sz w:val="29"/>
                <w:szCs w:val="29"/>
                <w:color w:val="auto"/>
                <w:vertAlign w:val="superscript"/>
              </w:rPr>
              <w:t>(1)</w:t>
            </w:r>
          </w:p>
        </w:tc>
      </w:tr>
      <w:tr>
        <w:trPr>
          <w:trHeight w:val="486"/>
        </w:trPr>
        <w:tc>
          <w:tcPr>
            <w:tcW w:w="3500" w:type="dxa"/>
            <w:vAlign w:val="bottom"/>
          </w:tcPr>
          <w:p>
            <w:pPr>
              <w:spacing w:after="0"/>
              <w:rPr>
                <w:sz w:val="20"/>
                <w:szCs w:val="20"/>
                <w:color w:val="auto"/>
              </w:rPr>
            </w:pPr>
            <w:r>
              <w:rPr>
                <w:rFonts w:ascii="Arial" w:cs="Arial" w:eastAsia="Arial" w:hAnsi="Arial"/>
                <w:sz w:val="18"/>
                <w:szCs w:val="18"/>
                <w:color w:val="auto"/>
              </w:rPr>
              <w:t>John Schroer</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57</w:t>
            </w:r>
          </w:p>
        </w:tc>
        <w:tc>
          <w:tcPr>
            <w:tcW w:w="5280" w:type="dxa"/>
            <w:vAlign w:val="bottom"/>
            <w:gridSpan w:val="2"/>
          </w:tcPr>
          <w:p>
            <w:pPr>
              <w:ind w:left="220"/>
              <w:spacing w:after="0"/>
              <w:rPr>
                <w:sz w:val="20"/>
                <w:szCs w:val="20"/>
                <w:color w:val="auto"/>
              </w:rPr>
            </w:pPr>
            <w:r>
              <w:rPr>
                <w:rFonts w:ascii="Arial" w:cs="Arial" w:eastAsia="Arial" w:hAnsi="Arial"/>
                <w:sz w:val="18"/>
                <w:szCs w:val="18"/>
                <w:color w:val="auto"/>
              </w:rPr>
              <w:t>Independent Director Nominee</w:t>
            </w:r>
            <w:r>
              <w:rPr>
                <w:rFonts w:ascii="Arial" w:cs="Arial" w:eastAsia="Arial" w:hAnsi="Arial"/>
                <w:sz w:val="29"/>
                <w:szCs w:val="29"/>
                <w:color w:val="auto"/>
                <w:vertAlign w:val="superscript"/>
              </w:rPr>
              <w:t>(1)</w:t>
            </w:r>
          </w:p>
        </w:tc>
      </w:tr>
    </w:tbl>
    <w:p>
      <w:pPr>
        <w:spacing w:after="0" w:line="74" w:lineRule="exact"/>
        <w:rPr>
          <w:sz w:val="20"/>
          <w:szCs w:val="20"/>
          <w:color w:val="auto"/>
        </w:rPr>
      </w:pPr>
    </w:p>
    <w:p>
      <w:pPr>
        <w:ind w:left="540" w:hanging="208"/>
        <w:spacing w:after="0"/>
        <w:tabs>
          <w:tab w:leader="none" w:pos="540" w:val="left"/>
        </w:tabs>
        <w:numPr>
          <w:ilvl w:val="0"/>
          <w:numId w:val="46"/>
        </w:numPr>
        <w:rPr>
          <w:rFonts w:ascii="Arial" w:cs="Arial" w:eastAsia="Arial" w:hAnsi="Arial"/>
          <w:sz w:val="25"/>
          <w:szCs w:val="25"/>
          <w:color w:val="auto"/>
          <w:vertAlign w:val="superscript"/>
        </w:rPr>
      </w:pPr>
      <w:r>
        <w:rPr>
          <w:rFonts w:ascii="Arial" w:cs="Arial" w:eastAsia="Arial" w:hAnsi="Arial"/>
          <w:sz w:val="15"/>
          <w:szCs w:val="15"/>
          <w:color w:val="auto"/>
        </w:rPr>
        <w:t>The director nominees are expected to transition on to our board of directors upon the close of this offering.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 Directors and Director Nominees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Francisco D. Salva </w:t>
      </w:r>
      <w:r>
        <w:rPr>
          <w:rFonts w:ascii="Arial" w:cs="Arial" w:eastAsia="Arial" w:hAnsi="Arial"/>
          <w:sz w:val="16"/>
          <w:szCs w:val="16"/>
          <w:color w:val="auto"/>
        </w:rPr>
        <w:t>has served as our president and chief executive officer and a member of our Board since April 2021. Mr. Salva has over 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of experience in senior leadership roles in the biotechnology and pharmaceutical industries. Mr. Salva served as president and chief executive officer of Complexa, Inc., an inflammation and fibrosis focused biopharmaceutical company, from May 2018 to August 2020. From February 2011 to November 2016, Mr. Salva served as a co-founder and vice president of operations of Acerta Pharma B.V., Inc, a cancer and autoimmune focused biopharmaceutical company. Mr. Salva serves as a director of Vincerx Pharma, Inc. (Nasdaq: VINC). Prior to his operating roles, Mr. Salva served in various senior positions in the venture capital and investment banking industries focusing on healthcare, biotechnology and pharmaceuticals companies. Mr. Salva received a B.A. from Brown University and a MSc. In economics and philosophy from the London School of Economics. We believe that Mr. Salva’s experience as a senior executive, venture capitalist and investment banker in the biotech and pharmaceutical industries qualifies him to serve on our Board.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Norman Staskey </w:t>
      </w:r>
      <w:r>
        <w:rPr>
          <w:rFonts w:ascii="Arial" w:cs="Arial" w:eastAsia="Arial" w:hAnsi="Arial"/>
          <w:sz w:val="18"/>
          <w:szCs w:val="18"/>
          <w:color w:val="auto"/>
        </w:rPr>
        <w:t>has served as our chief financial officer since October 2022. Since May 15, 2021, Mr. Staskey has also served as a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Danforth Advisors, a national consulting firm providing financial, accounting and reporting services to the life science industry. From September 2014 to May 2021, Mr. Staskey was employed by EY (formally Ernst &amp; Young), most recently as a managing director in EY’s Financial Accounting and Advisory services practice.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Travis Whitfill </w:t>
      </w:r>
      <w:r>
        <w:rPr>
          <w:rFonts w:ascii="Arial" w:cs="Arial" w:eastAsia="Arial" w:hAnsi="Arial"/>
          <w:sz w:val="17"/>
          <w:szCs w:val="17"/>
          <w:color w:val="auto"/>
        </w:rPr>
        <w:t>is a co-founder of Azitra and has served on our Board since inception. Mr. Whitfill has served in various roles at Azitra,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scientific officer from January 2014 to September 2019 and director of advanced technology since September 2019, and will serve as Chief Operating Officer upon the completion of this offering. Mr. Whitfill has served as a partner at Bios Equity Partners, LP, a biotechnology-focused venture capital firm, since October 2015 and a senior analyst at Bios Research since September 2014. He has also served as an associate research scientist at Yale University from July 2016 to March 2022, with appointments in the Departments of Pediatrics and Emergency Medicine. Mr. Whitfill has served on the board of directors of IN8Bio, Inc. (Nasdaq: INAB) since March 2018, 410 Medical from September 2017 to July 2019 and SIRPant Immunotherapeutics since September 2021. Mr. Whitfill has led numerous grant-funded projects, holds several patents and has co-authored over 50 publications. Mr. Whitfill received a B.S. from Dallas Baptist University, an MPH from Yale University and an MPhil from University College London. We believe that Mr. Whitfill’s strong background in entrepreneurship and in the biotech and healthcare industries qualifies him to serve on our Board.</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Andrew McClary, MD </w:t>
      </w:r>
      <w:r>
        <w:rPr>
          <w:rFonts w:ascii="Arial" w:cs="Arial" w:eastAsia="Arial" w:hAnsi="Arial"/>
          <w:sz w:val="16"/>
          <w:szCs w:val="16"/>
          <w:color w:val="auto"/>
        </w:rPr>
        <w:t>has served as a member of our Board since March 2019. Dr. McClary is the founding general partner at KdT Ventures LP,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biotechnology focused venture firm founded in 2017. At KdT, Dr. McClary invests in companies leveraging the intersection of the physical sciences and engineering, both computational and biochemical. In addition to leading KdT’s investment in Azitra, Dr. McClary has also led KdT’s investments in PathAI, Dyno Therapeutics, Solugen, Terray Therapeutics, STRM Therapeutics, Elegen, and Checkerspot. Prior to KdT, Dr. McClary served on faculty as a Pathologist at Stanford University and was an early employee at Included Health (formerly known as Grand Rounds), where he was the physician lead for the Data Science and Analytics team. Dr. McClary received his M.D. from Tulane University, where he has held prior academic appointments and was a HHMI/NIH Fellow, and his Sc.B. in Biochemistry and Molecular Biology from Brown University. We believe that Dr. McClary’s medical and scientific expertise as a physician-scientist coupled with his experience working in the venture capital industry qualifies him to serve on our Board.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Barbara Ryan </w:t>
      </w:r>
      <w:r>
        <w:rPr>
          <w:rFonts w:ascii="Arial" w:cs="Arial" w:eastAsia="Arial" w:hAnsi="Arial"/>
          <w:sz w:val="16"/>
          <w:szCs w:val="16"/>
          <w:color w:val="auto"/>
        </w:rPr>
        <w:t>will become a member of our Board upon the closing of this offering. Ms. Ryan founded Barbara Ryan Advisors, a capital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communications firm, in 2012 following a more than 30-year career on Wall Street as a sell-side research analyst covering the U.S. pharmaceutical industry. Ms. Ryan has deep experience in equity and debt financings, M&amp;A, valuation, SEC reporting, financial analysis and corporate strategy across a broad range of life sciences companies. Ms. Ryan worked on several of the industry’s largest M&amp;A transactions, including Shire’s defense versus a hostile takeover attempt by Abbvie, Shire’s takeover of Baxalta, Allergan’s defense against Valeant and Perrigo’s defense versus Mylan Ms. Ryan served as an executive team member and on the disclosure committee for Radius Health from January 2014 to December 2017. Previously, Ms. Ryan was a managing director at Deutsche Bank/Alex Brown and head of the company’s pharmaceutical research team for 19 years and began her research career covering the pharmaceutical industry at Bear Stearns in 1982. Ms. Ryan currently serves as a director on the board of MiNK Therapeutics, Inc. (Nasdaq: INKT), where she chairs the audit committee, INVO Bioscience, Inc, (Nasdaq: INVO), Invidior, PLC (LON:INDV). and The Red Door Community (formerly Gilda’s Club NYC), a non-profit organization. Ms. Ryan is the founder of Fabulous Pharma Females, a non-profit whose mission is to advance women in the biopharma industry, is a member of the editorial advisory board of Pharmaceutical Executive Magazine, a faculty member of the GLG Institute and a member of the Prix Galien executive advisory board. We believe that Ms. Ryan is qualified to serve as a member of our Board because of her experience and knowledge of corporate finance, mergers and acquisitions, corporate governance, as well as other operational, financial and accounting matters gained as a past and present executive officer and/or director of other public and private companies.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John Schroer </w:t>
      </w:r>
      <w:r>
        <w:rPr>
          <w:rFonts w:ascii="Arial" w:cs="Arial" w:eastAsia="Arial" w:hAnsi="Arial"/>
          <w:sz w:val="17"/>
          <w:szCs w:val="17"/>
          <w:color w:val="auto"/>
        </w:rPr>
        <w:t>will become a member of our Board upon the closing of this offering. Mr. Schroer has served as chief financial officer of Alumis,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privately held biotechnology company developing precision immunology therapies, since March 2022. Mr. Schroer was chief financial officer of Arsenal Biosciences, Inc., a privately held biotechnology company developing programmable cell therapy for solid tumors, from February 2021 to February 2022. Mr. Schroer was chief financial officer of Translate Bio, Inc., a biotechnology company developing mRNA therapeutics and vaccines acquired by Sanofi in September 2021 for $3.2 billion, from May 2018 to December 2020. Previously, Mr. Schroer was Sector Head – Global Health Care for Allianz Global Investors, an international asset management firm, from January 2014 to May 2018. Mr. Schroer received his B.S. and M.B.A from the University of Wisconsin – Madison. We believe that Mr. Schroer’s strong background holding leadership positions in the biotechnology industry and almost 30 years of investing in the life sciences sector qualifies him to serve on our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directors or director nominees.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best of our knowledge, none of our executive officers, directors or director nominees were involved in any legal proceedings described in Item 401(f) of Regulation S-K in the past ten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may establish the authorized number of directors from time to time by resolution. Upon the completion of this offering, our Board will consist of five members, three of whom will qualify as independent under the listing rules of the NYSE American. Neither Mr. Salva nor Mr. Whitfill are considered to be independent due to their roles as executive officers of the Company. However, our Board has determined that Dr. McClary, Ms. Ryan and Mr. Schroer do not have a relationship that would interfere with the exercise of independent judgment in carrying out the responsibilities of a director and that he or she is “independent” as that term is defined under the applicable rules and regulations of the SEC and the listing requirements and rules of the NYSE American. In making this determination, our Board considered the current and prior relationships that each of Dr. McClary, Ms. Ryan and Mr. Schroer has with our Company and all other facts and circumstances our Board deemed relevant in determining their independence, including their beneficial ownership of our capital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One of the key functions of our Board is informed oversight of our risk management process. Our Board does not have a standing risk management committee, but rather intends to administer this oversight function directly through the board of directors as a whole, as well as through various standing committees of our Board that will address risks inherent in their respective areas of oversight. In particular, our Board will be responsible for monitoring and assessing strategic risk exposure and our audit committee will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has established an audit committee, compensation committee and nominating and corporate governance committee, each of which operates pursuant to a committee charter. Our Board may establish other committees to facilitate the management of our business. The composition and functions of each committee are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close of this offering, our audit committee will consist of Dr. McClary, Ms. Ryan and Mr. Schroer, with Mr. Schroer serving as Chairperson. Our Board has determined that each member meets the independence requirements of the Sarbanes-Oxley Act, Rule 10A-3 under the Exchange Act and the applicable listing standards of the NYSE American. Each member of our audit committee can read and understand fundamental financial statements in accordance with the SEC and NYSE American audit committee requirements. In arriving at this determination, the Board has examined each audit committee member’s scope of experience and the nature of their prior and/or current employment.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has determined that Mr. Schroer qualifies as an audit committee financial expert within the meaning of SEC regulations and meets the financial sophistication requirements of the NYSE American listing rules. Both our independent registered public accounting firm and management periodically meet privately with our audit committee.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25" w:lineRule="exact"/>
        <w:rPr>
          <w:sz w:val="20"/>
          <w:szCs w:val="20"/>
          <w:color w:val="auto"/>
        </w:rPr>
      </w:pPr>
    </w:p>
    <w:p>
      <w:pPr>
        <w:ind w:left="980" w:hanging="216"/>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operating results;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and approving the engagement of our independent auditors to perform audit services and any permissible non-audit services;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believe that the composition and functioning of our audit committee complies with all applicable requirements of the Sarbanes-Oxley Act, and all applicable SEC and NYSE American rules and regulations. We intend to comply with future requirements to the extent they become applicable to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close of this offering, our compensation committee will consist of Ms. Ryan and Mr. Schroer, with Ms. Ryan serving as Chairperson. Each of the members is a non-employee director, as defined in Rule 16b-3 promulgated under the Exchange Act. Our Board has determined that each member is “independent” as defined under the applicable listing standards of the NYSE American, including the standards specific to members of a compensation committee. The functions of this committee include, among other things:</w:t>
      </w:r>
    </w:p>
    <w:p>
      <w:pPr>
        <w:spacing w:after="0" w:line="187"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regarding) our overall compensation strategy and policies;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regarding) the compensation and other terms of employment of our executive officers;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reviewing and approving (or if it deems it appropriate, making recommendations to the full Board regarding) the equity incentive plans, compensation plans and similar programs advisable for us, as well as modifying, amending or terminating existing plans and programs;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reviewing and evaluating on an annual basis the performance of the compensation committee and the compensation committee charter.</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the composition and functioning of our compensation committee complies with all applicable requirements of the Sarbanes-Oxley Act, and all applicable SEC and the NYSE American rules and regulations. We intend to comply with future requirements to the extent they become applicable to 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Upon the close of this offering, our nominating and corporate governance committee will consist of Dr. McClary and Ms. Ryan, with Dr. McClary serving as Chairperson. The composition of our nominating and corporate governance committee meets the requirements for independence under the NYSE American listing standards and SEC rules and regulations. Our nominating and corporate governance committee will, among other things:</w:t>
      </w:r>
    </w:p>
    <w:p>
      <w:pPr>
        <w:spacing w:after="0" w:line="149" w:lineRule="exact"/>
        <w:rPr>
          <w:sz w:val="20"/>
          <w:szCs w:val="20"/>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Each of our committees operates under a written charter that satisfies the applicable listing requirements and rules of the NYSE American.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adopt a Code of Business Conduct and Ethics, or the Code of Conduct, applicable to all of our employees, executive officers and directors. Once adopted, the Code of Conduct will be available on our website at www.azitrainc.com. The audit committee of our Board of directors will be responsible for overseeing the Code of Conduct and must approve any waivers of the Code of Conduct for employees, executive officers and directors. In addition, we intend to post on our website all disclosures that are required by law or the listing standards of the applicable stock exchange concerning any amendments to, or waivers from, any provision of the Code of Conduct.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Officer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compensation awarded to or earned by our chief executive officer and our two other highest paid executive officers for the years ended December 31, 2022 and 2021. In reviewing the table, please note that:</w:t>
      </w:r>
    </w:p>
    <w:p>
      <w:pPr>
        <w:spacing w:after="0" w:line="170" w:lineRule="exact"/>
        <w:rPr>
          <w:sz w:val="20"/>
          <w:szCs w:val="20"/>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Francisco D. Salva was appointed to serve as our president and chief executive officer in April 2021;</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Jeanne Bertonis served as our chief operating officer throughout 2021 and 2022 until April 2022;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Norman Staskey was appointed to serve as our chief financial officer in October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Option</w:t>
            </w:r>
          </w:p>
        </w:tc>
        <w:tc>
          <w:tcPr>
            <w:tcW w:w="3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Salary ($)</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Bonus ($)</w:t>
            </w:r>
          </w:p>
        </w:tc>
        <w:tc>
          <w:tcPr>
            <w:tcW w:w="340" w:type="dxa"/>
            <w:vAlign w:val="bottom"/>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Awards $ (1)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Francisco D. Salva,</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403,846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404,048</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 and CEO</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724,880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1,025,620</w:t>
            </w:r>
          </w:p>
        </w:tc>
        <w:tc>
          <w:tcPr>
            <w:tcW w:w="100" w:type="dxa"/>
            <w:vAlign w:val="bottom"/>
            <w:shd w:val="clear" w:color="auto" w:fill="CCEEFF"/>
          </w:tcPr>
          <w:p>
            <w:pPr>
              <w:spacing w:after="0"/>
              <w:rPr>
                <w:sz w:val="18"/>
                <w:szCs w:val="18"/>
                <w:color w:val="auto"/>
              </w:rPr>
            </w:pPr>
          </w:p>
        </w:tc>
      </w:tr>
      <w:tr>
        <w:trPr>
          <w:trHeight w:val="432"/>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Norman Staskey,</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63,200</w:t>
            </w:r>
          </w:p>
        </w:tc>
        <w:tc>
          <w:tcPr>
            <w:tcW w:w="100" w:type="dxa"/>
            <w:vAlign w:val="bottom"/>
            <w:shd w:val="clear" w:color="auto" w:fill="CCEEFF"/>
          </w:tcPr>
          <w:p>
            <w:pPr>
              <w:spacing w:after="0"/>
              <w:rPr>
                <w:sz w:val="24"/>
                <w:szCs w:val="24"/>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CFO</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Jeanne Bertonis,</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169,523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257,133</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303,714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303,899</w:t>
            </w:r>
          </w:p>
        </w:tc>
        <w:tc>
          <w:tcPr>
            <w:tcW w:w="100" w:type="dxa"/>
            <w:vAlign w:val="bottom"/>
            <w:shd w:val="clear" w:color="auto" w:fill="CCEEFF"/>
          </w:tcPr>
          <w:p>
            <w:pPr>
              <w:spacing w:after="0"/>
              <w:rPr>
                <w:sz w:val="18"/>
                <w:szCs w:val="18"/>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2" w:lineRule="exact"/>
        <w:rPr>
          <w:sz w:val="20"/>
          <w:szCs w:val="20"/>
          <w:color w:val="auto"/>
        </w:rPr>
      </w:pPr>
    </w:p>
    <w:p>
      <w:pPr>
        <w:jc w:val="both"/>
        <w:ind w:left="660" w:hanging="328"/>
        <w:spacing w:after="0" w:line="287"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dollar amounts in the Option Awards columns above reflect the values of options as of the grant date for the years ended December 31, 2022 and 2021,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therefore, do not necessarily reflect actual benefits received by the individuals. Assumptions used in the calculation of these amounts are included in Note 11 to our audited financial statements.</w:t>
      </w:r>
    </w:p>
    <w:p>
      <w:pPr>
        <w:spacing w:after="0" w:line="2" w:lineRule="exact"/>
        <w:rPr>
          <w:rFonts w:ascii="Arial" w:cs="Arial" w:eastAsia="Arial" w:hAnsi="Arial"/>
          <w:sz w:val="16"/>
          <w:szCs w:val="16"/>
          <w:color w:val="auto"/>
        </w:rPr>
      </w:pPr>
    </w:p>
    <w:p>
      <w:pPr>
        <w:ind w:left="660" w:hanging="328"/>
        <w:spacing w:after="0" w:line="323"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other compensation includes commuter benefits, vacation payouts, relocation reimbursements, 401K match contributions, and life insurance premiums, plus a separation benefit payment to Ms. Bertonis and consulting fees paid for Mr. Staskey’s services as chief financial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b w:val="1"/>
          <w:bCs w:val="1"/>
          <w:color w:val="auto"/>
        </w:rPr>
        <w:t>Narrative Disclosure to Officer Compensation Table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our current named executive officers are at-will employees and set forth below is a summary of the current terms of their compensatory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Francisco D. Salva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an executive employment agreement dated April 22, 2021 with Mr. Salva, pursuant to which Mr. Salva serves as our president and chief executive officer. We have agreed to pay Mr. Salva an annual base salary of $420,000 under the agreement. Mr. Salva is also eligible to receive a bonus of up to 35% of his base salary based on performance parameters set by our Board. Mr. Salva’s executive employment agreement entitles him to participate in health insurance and other benefits, at our expense, made available to other executive officers. In the event of Mr. Salva’s termination by us without cause or his resignation for good reason, as such terms are defined in the executive employment agreement, Mr. Salva will be entitled to the continuation of his base salary and health insurance coverage for a period of 12 months and a prorated amount of his annual bonus for the year in which the termination occurred, subject to the achievement of applicable performance targets. Mr. Salva’s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execution of the executive employment agreement, we granted to Mr. Salva an option to purchase up to 465,760 shares of our common stock at an exercise price of $1.56 per share under the 2016 Plan. The options vest and become exercisable as follows. 80% of the options, or options to purchase 372,608 common shares, are subject to time-based vesting, with options to purchase 93,152 shares (25%) vesting on the first anniversary of the grant and options to purchase 279,456 shares (75%) vesting in equal monthly installments over the 36 months following the first anniversary. 20% of the options, or options to purchase 13,120 common shares, shall vest upon patient dosing in the first in-human clinical trial of ATR-12 or a substitute live biotherapeutic product, as determined by our Board in its reasonable discretion. The options expire on the ten-year anniversary of the date of grant.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Norman Staskey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Staskey serves as our chief financial officer pursuant to a Consulting Agreement dated October 12, 2002 between us and Danforth Advisors, LLC. Pursuant to the Consulting Agreement, Danforth Advisors provides to us certain strategic and financial advice and support services, including Mr. Staskey’s services as chief financial officer, at hourly rates between $135 and $575 per hour, depending on the level of service and the seniority of the service provider. The Consulting Agreement is subject to termination by either party on 30 days written notice and contains customary provisions relating to intellectual property assignment, confidentiality and indemnification.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Jeanne Bertonis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Ms. Bertonis served as our chief operating officer from September 2019 to April 2022 pursuant to an executive employment agreement dated September 1, 2019. Ms. Bertonis was paid a base salary of $303,714 in 2022 and in 2021 and was eligible to receive a bonus of up to 25% of her base salary based on performance parameters set by our Board. Ms. Bertonis’ executive employment agreement entitled her to participate in health insurance and other benefits, at our expense, made available to other executive officers. Ms. Bertonis’ employment ended in April 2022 and pursuant to the severance provisions of her agreement she received the continuation of her base salary and health benefits for a period of six months from the date of separation. We paid Ms. Bertonis a total of $156,877 in severance and $12,579 in vacation payout during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paid any directors’ fees or other compensation to our directors for their services as directors. All of our directors receive reimbursement for out-of-pocket expenses for attending board of directors meetings. We intend to commence the payment of our non-executive directors, including the payment of cash and equity awards, or a combination of both, but we have not adopted any such plans or policies as of this date. From time to time, we may also engage certain future outside members of the board of directors to perform services on our behalf and we will compensate such persons for the services which they perform.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157,989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common shares on the date of grant. As of the date of this prospectus, we have outstanding options granted under the 2016 Plan to purchase an aggregate of 1,290,319 shares of our common stock at an average exercise price of $1.33 per share.</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We currently have reserved 2,000,000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common shares on the date of grant. As of the date of this prospectus, we have not granted any awards under the 2023 Plan.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Except as set forth below, since January 1, 2020, we have not been a party to any transaction in which the amount involved in the transaction exceeded the lesser of $120,000 or one percent of the average of our total assets as of March 31, 2023 and 2022, and in which any of our directors, executive officers or, to our knowledge, beneficial owners of more than 5% of our voting securities or any member of the immediate family of any of the foregoing persons had or will have a direct or indirect material interest, other than compensation arrangements, which include equity and other compensation, termination, change in control and other arrangements, which are described under “</w:t>
      </w:r>
      <w:r>
        <w:rPr>
          <w:rFonts w:ascii="Arial" w:cs="Arial" w:eastAsia="Arial" w:hAnsi="Arial"/>
          <w:sz w:val="17"/>
          <w:szCs w:val="17"/>
          <w:i w:val="1"/>
          <w:iCs w:val="1"/>
          <w:color w:val="auto"/>
        </w:rPr>
        <w:t>Executive Compensation</w:t>
      </w:r>
      <w:r>
        <w:rPr>
          <w:rFonts w:ascii="Arial" w:cs="Arial" w:eastAsia="Arial" w:hAnsi="Arial"/>
          <w:sz w:val="17"/>
          <w:szCs w:val="17"/>
          <w:color w:val="auto"/>
        </w:rPr>
        <w:t>.” We have adopted a policy that any transactions with directors, officers, beneficial owners of five percent or more of our common stock, any immediate family members of the foregoing or entities of which any of the foregoing are also officers or directors or in which they have a financial interest, will only be on terms consistent with industry standards and approved by a majority of the disinterested directors of our Board.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ind w:firstLine="648"/>
        <w:spacing w:after="0" w:line="291" w:lineRule="auto"/>
        <w:rPr>
          <w:sz w:val="20"/>
          <w:szCs w:val="20"/>
          <w:color w:val="auto"/>
        </w:rPr>
      </w:pPr>
      <w:r>
        <w:rPr>
          <w:rFonts w:ascii="Arial" w:cs="Arial" w:eastAsia="Arial" w:hAnsi="Arial"/>
          <w:sz w:val="16"/>
          <w:szCs w:val="16"/>
          <w:color w:val="auto"/>
        </w:rPr>
        <w:t>In September 2022, we issued unsecured convertible promissory notes in the aggregate principal amount of $4.35 million to five existing stockholders, including notes in the aggregate principal amount of $4 million to three funds under common control, namely Bios Fund III, LP, Bios Fund</w:t>
      </w:r>
    </w:p>
    <w:p>
      <w:pPr>
        <w:jc w:val="both"/>
        <w:ind w:firstLine="8"/>
        <w:spacing w:after="0" w:line="253" w:lineRule="auto"/>
        <w:tabs>
          <w:tab w:leader="none" w:pos="2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QP, LP, and Bios Fund III NT, LP. The Bios entities beneficially own a collective 4,883,658 shares, or approximately 43.0%, of our outstanding common stock immediately prior to this offering. In connection the Bios entities investment in our Company, we granted the Bios entities certain board appointment rights pursuant to which they appointed to our Board a Bios representative who served on our Board from April 2016 to the date preceding the date of this prospectus. In addition, Travis Whitfill, our co-founder and a member of our Board, is a partner of Bios Equity Partners, LP, the general partner of the aforementioned Bios entities,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2019, we entered into a Joint Development Agreement, or JDA, with Bayer pursuant to which we agreed to the joint development of certain strains selected from our proprietary microbial library. Bayer paid us a one-time low six figure payment upon execution of the JDA. Pursuant to the JDA, Bayer is responsible for reimbursing us for our development costs, and in 2023 Bayer has paid us a six figure dollar amount for our development costs. We have granted Bayer an option to acquire an exclusive royalty bearing license for up to six (6) strains subject to development activities under the JDA, including an exclusive royalty bearing license to any related patent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September 2020, Bayer’s venture capital group, LEAPS by Bayer, purchased $8 million of our Series B preferred stock. In connection with the investment, we granted Bayer certain board appointment rights pursuant to which they appointed to our Board a Bayer representative who served on our Board from September 2020 to the date preceding the date of this prospectus.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closing of this offering, we expect to enter into indemnification agreements with each of our directors and executive officers that may be broader than the specific indemnification provisions contained in the DGCL.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 and Indemnification of Directors and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Delaware General Corporation Law provides that corporations may include a provision in their certificate of incorporation relieving directors of monetary liability for breach of their fiduciary duty as directors,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for unlawful payment of a dividend or unlawful stock purchase or redemption, or (iv) for any transaction from which the director derived an improper personal benefit. Our amended and restated certificate of incorporation provides that directors are not liable to us or our stockholders for monetary damages for breach of their fiduciary duty as directors to the fullest extent permitted by Delaware law. In addition to the foregoing, our amended and restated certificate of incorporation provides that we shall indemnify directors and officers to the fullest extent permitted by law.</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above provisions in our amended and restated certificate of incorporation to be adopted upon the completion of this offering may have the effect of reducing the likelihood of derivative litigation against directors and may discourage or deter stockholders or management from bringing a lawsuit against directors for breach of their fiduciary duty, even though such an action, if successful, might otherwise have benefited us and our stockholders. However, we believe that the foregoing provisions are necessary to attract and retain qualified persons as directors.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our shares of common stock as of the date of this prospectus by:</w:t>
      </w:r>
    </w:p>
    <w:p>
      <w:pPr>
        <w:spacing w:after="0" w:line="170" w:lineRule="exact"/>
        <w:rPr>
          <w:sz w:val="20"/>
          <w:szCs w:val="20"/>
          <w:color w:val="auto"/>
        </w:rPr>
      </w:pPr>
    </w:p>
    <w:p>
      <w:pPr>
        <w:ind w:left="980" w:hanging="324"/>
        <w:spacing w:after="0" w:line="258"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five percent (5%) of our issued and outstanding shares of common stock;</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who will serve as such upon the completion of this offering;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the aforementioned directors, executive officers and director nominees as a group.</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beneficial ownership of each person was calculated based on 10,586,510 shares of common stock issued and outstanding prior to the offering, including 1,043,991 shares issued and outstanding as of the date of this prospectus, and approximately 9,542,519 shares issuable upon the conversion of our convertible preferred stock and convertible promissory notes outstanding as of the date of this prospectus, based on the assumed initial public offering price of $5.00 per share (which is the midpoint of the price range set forth on the cover page of this prospectus). 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the date of this prospectus, pursuant to the exercise of options or warrants or the conversion of notes, debentures or other indebtedness. Two or more persons might count as beneficial owners of the same share. Unless otherwise indicated, the address for each reporting person is c/o Azitra, Inc., 21 Business Park Drive, Branford, Connecticut 06405.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Percentage Owned</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Prior to</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Percentage Owned</w:t>
            </w:r>
          </w:p>
        </w:tc>
      </w:tr>
      <w:tr>
        <w:trPr>
          <w:trHeight w:val="284"/>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Director, Executive Officer or Director Nominee</w:t>
            </w:r>
          </w:p>
        </w:tc>
        <w:tc>
          <w:tcPr>
            <w:tcW w:w="2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34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18"/>
                <w:szCs w:val="18"/>
                <w:b w:val="1"/>
                <w:bCs w:val="1"/>
                <w:color w:val="auto"/>
                <w:w w:val="89"/>
              </w:rPr>
              <w:t>Offering</w:t>
            </w:r>
            <w:r>
              <w:rPr>
                <w:rFonts w:ascii="Arial" w:cs="Arial" w:eastAsia="Arial" w:hAnsi="Arial"/>
                <w:sz w:val="29"/>
                <w:szCs w:val="29"/>
                <w:b w:val="1"/>
                <w:bCs w:val="1"/>
                <w:color w:val="auto"/>
                <w:w w:val="89"/>
                <w:vertAlign w:val="superscript"/>
              </w:rPr>
              <w:t>(1)</w:t>
            </w:r>
          </w:p>
        </w:tc>
        <w:tc>
          <w:tcPr>
            <w:tcW w:w="38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line="277" w:lineRule="exact"/>
              <w:rPr>
                <w:sz w:val="20"/>
                <w:szCs w:val="20"/>
                <w:color w:val="auto"/>
              </w:rPr>
            </w:pPr>
            <w:r>
              <w:rPr>
                <w:rFonts w:ascii="Arial" w:cs="Arial" w:eastAsia="Arial" w:hAnsi="Arial"/>
                <w:sz w:val="18"/>
                <w:szCs w:val="18"/>
                <w:b w:val="1"/>
                <w:bCs w:val="1"/>
                <w:color w:val="auto"/>
                <w:w w:val="90"/>
              </w:rPr>
              <w:t>After Offering</w:t>
            </w:r>
            <w:r>
              <w:rPr>
                <w:rFonts w:ascii="Arial" w:cs="Arial" w:eastAsia="Arial" w:hAnsi="Arial"/>
                <w:sz w:val="29"/>
                <w:szCs w:val="29"/>
                <w:b w:val="1"/>
                <w:bCs w:val="1"/>
                <w:color w:val="auto"/>
                <w:w w:val="90"/>
                <w:vertAlign w:val="superscript"/>
              </w:rPr>
              <w:t>(2)</w:t>
            </w:r>
          </w:p>
        </w:tc>
        <w:tc>
          <w:tcPr>
            <w:tcW w:w="140" w:type="dxa"/>
            <w:vAlign w:val="bottom"/>
            <w:tcBorders>
              <w:bottom w:val="single" w:sz="8" w:color="CCEEFF"/>
            </w:tcBorders>
          </w:tcPr>
          <w:p>
            <w:pPr>
              <w:spacing w:after="0"/>
              <w:rPr>
                <w:sz w:val="24"/>
                <w:szCs w:val="24"/>
                <w:color w:val="auto"/>
              </w:rPr>
            </w:pPr>
          </w:p>
        </w:tc>
      </w:tr>
      <w:tr>
        <w:trPr>
          <w:trHeight w:val="270"/>
        </w:trPr>
        <w:tc>
          <w:tcPr>
            <w:tcW w:w="58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Francisco D. Salva </w:t>
            </w:r>
            <w:r>
              <w:rPr>
                <w:rFonts w:ascii="Arial" w:cs="Arial" w:eastAsia="Arial" w:hAnsi="Arial"/>
                <w:sz w:val="29"/>
                <w:szCs w:val="29"/>
                <w:color w:val="auto"/>
                <w:vertAlign w:val="superscript"/>
              </w:rPr>
              <w:t>(1)</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186,304</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Norman Staskey</w:t>
            </w:r>
          </w:p>
        </w:tc>
        <w:tc>
          <w:tcPr>
            <w:tcW w:w="22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Travis Whitfill </w:t>
            </w:r>
            <w:r>
              <w:rPr>
                <w:rFonts w:ascii="Arial" w:cs="Arial" w:eastAsia="Arial" w:hAnsi="Arial"/>
                <w:sz w:val="29"/>
                <w:szCs w:val="29"/>
                <w:color w:val="auto"/>
                <w:vertAlign w:val="superscript"/>
              </w:rPr>
              <w:t>(2)</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412,652</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800" w:type="dxa"/>
            <w:vAlign w:val="bottom"/>
          </w:tcPr>
          <w:p>
            <w:pPr>
              <w:spacing w:after="0" w:line="270" w:lineRule="exact"/>
              <w:rPr>
                <w:sz w:val="20"/>
                <w:szCs w:val="20"/>
                <w:color w:val="auto"/>
              </w:rPr>
            </w:pPr>
            <w:r>
              <w:rPr>
                <w:rFonts w:ascii="Arial" w:cs="Arial" w:eastAsia="Arial" w:hAnsi="Arial"/>
                <w:sz w:val="18"/>
                <w:szCs w:val="18"/>
                <w:color w:val="auto"/>
              </w:rPr>
              <w:t xml:space="preserve">Andrew McClary </w:t>
            </w:r>
            <w:r>
              <w:rPr>
                <w:rFonts w:ascii="Arial" w:cs="Arial" w:eastAsia="Arial" w:hAnsi="Arial"/>
                <w:sz w:val="29"/>
                <w:szCs w:val="29"/>
                <w:color w:val="auto"/>
                <w:vertAlign w:val="superscript"/>
              </w:rPr>
              <w:t>(3)</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291,049</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Barbara Ryan</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John Schroer</w:t>
            </w:r>
          </w:p>
        </w:tc>
        <w:tc>
          <w:tcPr>
            <w:tcW w:w="22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7"/>
              </w:rPr>
              <w:t>Directors, executive officers and director nominees, as a group (6 persons)</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890,005</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414"/>
        </w:trPr>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Percentage Owned</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Percentage Owned</w:t>
            </w:r>
          </w:p>
        </w:tc>
      </w:tr>
      <w:tr>
        <w:trPr>
          <w:trHeight w:val="241"/>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Five Percent Stockholders</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Prior to Offering</w:t>
            </w:r>
          </w:p>
        </w:tc>
        <w:tc>
          <w:tcPr>
            <w:tcW w:w="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After Offering</w:t>
            </w:r>
          </w:p>
        </w:tc>
        <w:tc>
          <w:tcPr>
            <w:tcW w:w="140" w:type="dxa"/>
            <w:vAlign w:val="bottom"/>
            <w:tcBorders>
              <w:bottom w:val="single" w:sz="8" w:color="CCEEFF"/>
            </w:tcBorders>
          </w:tcPr>
          <w:p>
            <w:pPr>
              <w:spacing w:after="0"/>
              <w:rPr>
                <w:sz w:val="20"/>
                <w:szCs w:val="20"/>
                <w:color w:val="auto"/>
              </w:rPr>
            </w:pPr>
          </w:p>
        </w:tc>
      </w:tr>
      <w:tr>
        <w:trPr>
          <w:trHeight w:val="256"/>
        </w:trPr>
        <w:tc>
          <w:tcPr>
            <w:tcW w:w="5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Bios Equity Entities </w:t>
            </w:r>
            <w:r>
              <w:rPr>
                <w:rFonts w:ascii="Arial" w:cs="Arial" w:eastAsia="Arial" w:hAnsi="Arial"/>
                <w:sz w:val="29"/>
                <w:szCs w:val="29"/>
                <w:color w:val="auto"/>
                <w:vertAlign w:val="superscript"/>
              </w:rPr>
              <w:t>(4)</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4,883,657</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70"/>
        </w:trPr>
        <w:tc>
          <w:tcPr>
            <w:tcW w:w="5800" w:type="dxa"/>
            <w:vAlign w:val="bottom"/>
          </w:tcPr>
          <w:p>
            <w:pPr>
              <w:spacing w:after="0" w:line="270" w:lineRule="exact"/>
              <w:rPr>
                <w:sz w:val="20"/>
                <w:szCs w:val="20"/>
                <w:color w:val="auto"/>
              </w:rPr>
            </w:pPr>
            <w:r>
              <w:rPr>
                <w:rFonts w:ascii="Arial" w:cs="Arial" w:eastAsia="Arial" w:hAnsi="Arial"/>
                <w:sz w:val="18"/>
                <w:szCs w:val="18"/>
                <w:color w:val="auto"/>
              </w:rPr>
              <w:t xml:space="preserve">Bayer Health Care, LLC </w:t>
            </w:r>
            <w:r>
              <w:rPr>
                <w:rFonts w:ascii="Arial" w:cs="Arial" w:eastAsia="Arial" w:hAnsi="Arial"/>
                <w:sz w:val="29"/>
                <w:szCs w:val="29"/>
                <w:color w:val="auto"/>
                <w:vertAlign w:val="superscript"/>
              </w:rPr>
              <w:t>(5)</w:t>
            </w:r>
          </w:p>
        </w:tc>
        <w:tc>
          <w:tcPr>
            <w:tcW w:w="2020" w:type="dxa"/>
            <w:vAlign w:val="bottom"/>
            <w:gridSpan w:val="3"/>
          </w:tcPr>
          <w:p>
            <w:pPr>
              <w:jc w:val="right"/>
              <w:ind w:right="340"/>
              <w:spacing w:after="0"/>
              <w:rPr>
                <w:sz w:val="20"/>
                <w:szCs w:val="20"/>
                <w:color w:val="auto"/>
              </w:rPr>
            </w:pPr>
            <w:r>
              <w:rPr>
                <w:rFonts w:ascii="Arial" w:cs="Arial" w:eastAsia="Arial" w:hAnsi="Arial"/>
                <w:sz w:val="18"/>
                <w:szCs w:val="18"/>
                <w:color w:val="auto"/>
              </w:rPr>
              <w:t>1,307,401</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5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Connecticut Innovations, Inc. </w:t>
            </w:r>
            <w:r>
              <w:rPr>
                <w:rFonts w:ascii="Arial" w:cs="Arial" w:eastAsia="Arial" w:hAnsi="Arial"/>
                <w:sz w:val="29"/>
                <w:szCs w:val="29"/>
                <w:color w:val="auto"/>
                <w:vertAlign w:val="superscript"/>
              </w:rPr>
              <w:t>(6)</w:t>
            </w:r>
          </w:p>
        </w:tc>
        <w:tc>
          <w:tcPr>
            <w:tcW w:w="2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689,054</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20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186,304 common shares issuable upon exercise of presently exercisable options.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93,152 shares issuable upon exercise of presently exercisable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21,804 shares issuable upon exercise of presently exercisable warrants.</w:t>
      </w:r>
    </w:p>
    <w:p>
      <w:pPr>
        <w:spacing w:after="0" w:line="9" w:lineRule="exact"/>
        <w:rPr>
          <w:rFonts w:ascii="Arial" w:cs="Arial" w:eastAsia="Arial" w:hAnsi="Arial"/>
          <w:sz w:val="18"/>
          <w:szCs w:val="18"/>
          <w:color w:val="auto"/>
        </w:rPr>
      </w:pPr>
    </w:p>
    <w:p>
      <w:pPr>
        <w:jc w:val="both"/>
        <w:ind w:left="340" w:hanging="332"/>
        <w:spacing w:after="0" w:line="28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799,467 shares of common stock issuable to Bios Fund I, LP upon conversion of our convertible preferred stock following the close of this offering, (ii) 397,600 shares of common stock issuable to Bios Azitra Co-Invest I, LP upon conversion of our convertible preferred stock following the close of this offering and 39,760 shares of common stock issuable upon the exercise of warrants, (iii) 284,987 shares of common stock issuable to Bios Fund II, LP upon conversion of our convertible preferred stock following the close of this offering and 22,727 shares of common stock issuable upon the exercise of warrants, (iv) 123,718 shares of common stock issuable to Bios Fund III, LP upon conversion of our convertible preferred stock and 77,953 shares of common stock issuable upon the conversion of the convertible promissory notes following the close of this offering, (v) 467,613 shares of common stock issuable to Bios Fund I QP, LP upon conversion of our convertible preferred stock following the close of this offering, (vi) 931,094 shares of common stock issuable to Bios Fund II QP, LP upon conversion of our convertible preferred following the close of this offering and 74,238 shares of common stock issuable upon the exercise of warrants, (vii) 808,058 shares of common stock issuable to Bios Fund III QP, LP upon conversion of our convertible preferred stock and 509,141 shares of common stock issuable upon the conversion of the convertible promissory notes following the close of this offering, (viii) 124,641 shares of common stock issuable to Bios Fund II NT, LP upon conversion of our convertible preferred stock following the close of this offering and 9,940 shares of common stock issuable upon the exercise of warrants, (ix) 130,498 shares of common stock issuable to Bios Fund III NT, LP upon conversion of our convertible preferred stock and 82,223 shares of common stock issuable upon the conversion of the convertible promissory notes following the close of this offering. Bios Equity Partners, LP is the general partner of the following entities: Bios Fund I, LP and Bios Fund I QP, LP. Bios Equity Partners II, LP is the general partner of Bios Fund II, LP, QP, LP, Bios Fund II, LP and Bios Fund II NT, LP. Cavu Management, LP, an entity managed and controlled by Mr. Les Kreis, and Bios Capital Management, LP, an entity managed and controlled by Mr. Aaron Fletcher, are the general partners of Bios Equity I, LP and Bios Equity II, LP. Cavu Advisors LLC, an entity that is managed and controlled by Mr. Kreis, is the general partner of Cavu Management LP. Bios Advisors GP, LLC, an entity that is managed and controlled by Mr. Fletcher, is the general partner of Bios Capital Management, LP. The shares owned by Bios Fund I, Bios Fund I QP, Bios Fund II, Bios Fund II QP, Bios Fund II NT and Bios Fund III NT (“Bios Equity Entities”) are aggregated for purposes of reporting share ownership information. Mr. Kreis and Mr. Fletcher share voting and investment control with respect to shares held by the Bios Equity Entities. Travis Whitfill, a director of the Company, is a partner at Bios Equity Partners, LP. but does not have voting or investment power over the shares described in this footnote 4. Gives no effect to any purchases of shares of common stock in this offering by any of the Bios Equity Entities. The address for Bios Equity Entities is 1751 River Run, Suite 400, Fort Worth, Texas 76107.</w:t>
      </w:r>
    </w:p>
    <w:p>
      <w:pPr>
        <w:spacing w:after="0" w:line="194"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1,307,401 shares of common stock issuable upon conversion of our convertible preferred stock following the close of this offering. The address for Bayer HealthCare, LLC is 610 Main Street Cambridge, Massachusetts 02139.</w:t>
      </w:r>
    </w:p>
    <w:p>
      <w:pPr>
        <w:jc w:val="both"/>
        <w:ind w:left="340" w:hanging="332"/>
        <w:spacing w:after="0" w:line="25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Consists of (i) 605,907 shares of common stock issuable upon conversion of our convertible preferred stock following the close of this offering, (ii) 41,315 shares of common stock issuable upon the exercise of warrants and (iii) 41,832 shares of common stock upon the conversion of the convertible promissory notes following the close of this offering. The address for Connecticut Innovations, Inc. is 470 James Street, Suite 8 New Haven, CT 06513.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upon the closing of this offering. We intend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“Description of Securities,” you should refer to our amended and restated certificate of incorporation and amended and restated bylaws and investor rights agreement, which are or will be included as exhibits to the registration statement of which this prospectus forms a part, and to the applicable provisions of Delaware law.</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Immediately following the closing of this offering, our authorized capital stock will consist of 100,000,000 shares of common stock, $0.0001 par value per share, and 10,000,000 shares of undesignated preferred stock, $0,0001 par value per share.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giving effect to forward stock split effected on May 17, 2023 at a ratio of 7.1-for-1, and assuming the automatic conversion of all shares of our convertible preferred stock and convertible promissory notes outstanding as of the date of this prospectus, which conversion will occur immediately upon the closing of this offering, there are 10,586,510 shares of our common stock outstanding and no shares of our preferred stock outstanding as of the date of this prospectus, based on the initial public offering price of $5.00 per share (which is the midpoint of the price range set forth on the cover page of this prospectus).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prospectus, we had 11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holders of common stock are entitled to one vote for each share of common stock. The holders of common stock are entitled to any dividends that may be declared by the Board out of funds legally available for payment of dividends at such times and in such amounts as the Board in its discretion. In the event of any liquidation, dissolution or winding up of the Company, holders of common stock are entitled to receive the assets of the Company available for distribution to its stockholders ratably in proportion to the number of shares of common stock held by the holders of common stock. The holders of shares of common stock have no preemptive, conversion, subscription rights or cumulative voting rights.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prospectus, there are a total of 1,437,150 shares of convertible preferred stock authorized for issuance, including 205,385 shares of Series A convertible preferred stock, 380,657 shares of Series A-1 convertible preferred stock and 414,638 shares Series B convertible preferred stock issued and outstanding. Immediately upon the completion of this offering, all outstanding shares of our convertible preferred stock will convert into a total of 7,693,436 shares of our common stock.</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completion of this offering plan to adopt an amended and restated certificate of incorporation pursuant to which we will authorized to issue 10,000,000 shares of preferred stock. Our Board will be authorized, without further action by our stockholders, to provide from time to time out of the unissued shares of preferred stock for one or more series of preferred stock, and with respect to each such series, to fix the number of shares constituting such series and the designation of such series, the powers (including voting powers), if any, of the shares of such series and the preferences and relative, participating, optional, special or other rights, if any, and the qualifications, limitations, or restrictions, if any, of the shares of such series.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we will have outstanding the following warrants to purchase shares of our common stock:</w:t>
      </w:r>
    </w:p>
    <w:p>
      <w:pPr>
        <w:spacing w:after="0" w:line="225" w:lineRule="exact"/>
        <w:rPr>
          <w:sz w:val="20"/>
          <w:szCs w:val="20"/>
          <w:color w:val="auto"/>
        </w:rPr>
      </w:pPr>
    </w:p>
    <w:p>
      <w:pPr>
        <w:ind w:left="980" w:hanging="324"/>
        <w:spacing w:after="0" w:line="274"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Warrants issued in connection with our April 2018 placement of unsecured convertible promissory notes to purchase up to an aggregate of 47,890 shares of our common stock, at a per share exercise price equal to $0.48. The warrants expire in April 2028.</w:t>
      </w:r>
    </w:p>
    <w:p>
      <w:pPr>
        <w:ind w:left="980" w:hanging="324"/>
        <w:spacing w:after="0" w:line="265"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Warrants issued in connection with our February 2019 placement of Series A-1 convertible preferred shares to purchase up to an aggregate of 215,854 shares of our common stock, at a per share exercise price equal to $5.28. The warrants expire in February 2029.</w:t>
      </w:r>
    </w:p>
    <w:p>
      <w:pPr>
        <w:jc w:val="both"/>
        <w:ind w:left="980" w:hanging="324"/>
        <w:spacing w:after="0" w:line="25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Warrants to be issued to ThinkEquity and its designees at the close of this offering to purchase shares of our common stock equal to 4% of the shares of common stock sold in this offering. This warrant is exercisable at $6.25 per share (125% of the price of the common stock sold in this offering), expiring five years from the date of this prospectus.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157,989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common shares on the date of grant. As of the date of this prospectus, we have outstanding options granted under the 2016 Plan to purchase an aggregate of 1,290,319 shares of our common stock at an average exercise price of $1.33 per share.</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We currently have reserved 2,000,000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common shares on the date of grant. As of the date of this prospectus, we have not granted any awards under the 2023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anticipate the payment of cash dividends on our common stock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completion of this offering, certain holders of our common stock, or their permitted transferees, will be entitled to the registration rights described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registrations described below. The registration rights described below will expire upon the earlier of three years following the completion of this offering, or when all investors, considered with their affiliates, can sell all of their shares in a three-month period under Rule 144.</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Convertible Preferred Stock Registration Rights</w:t>
      </w:r>
      <w:r>
        <w:rPr>
          <w:rFonts w:ascii="Arial" w:cs="Arial" w:eastAsia="Arial" w:hAnsi="Arial"/>
          <w:sz w:val="17"/>
          <w:szCs w:val="17"/>
          <w:color w:val="auto"/>
        </w:rPr>
        <w:t>. In connection with our convertible preferred stock financings, we entered into an investor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as amended, pursuant to which we have granted the purchasers of our convertible preferred stock certain demand and piggyback respiration rights. Following the completion of this offering, those parties will beneficially hold approximately 9,542,519 shares of our common stock, including 7,693,437 shares of our common stock issued upon conversion of our outstanding our convertible preferred stock and unsecured convertible notes and 1,838,775 shares of our common stock issuable upon exercise of warrants issued to the parties in connection with our 2018 placement of our unsecured convertible promissory notes and our 2019 placement of Series A-1 convertible preferred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jc w:val="both"/>
        <w:ind w:firstLine="648"/>
        <w:spacing w:after="0" w:line="289" w:lineRule="auto"/>
        <w:rPr>
          <w:sz w:val="20"/>
          <w:szCs w:val="20"/>
          <w:color w:val="auto"/>
        </w:rPr>
      </w:pPr>
      <w:r>
        <w:rPr>
          <w:rFonts w:ascii="Arial" w:cs="Arial" w:eastAsia="Arial" w:hAnsi="Arial"/>
          <w:sz w:val="16"/>
          <w:szCs w:val="16"/>
          <w:color w:val="auto"/>
        </w:rPr>
        <w:t>Pursuant to the investor rights agreement, we will be required, upon the written request at any time more than 180 days after the completion of this offering by the holders of at least 50% of the shares that are entitled to registration rights under the investor rights agreement, to register, as soon as practicable, all or a portion of these shares for public resale. We are required to effect two demand registrations pursuant to a registration statement on Form S-1, provided such requests for registration be for an aggregate offering price, net of the underwriting discounts and commissions, equal or greater than $20.0 million. Subject to our eligibility to use a registration statement on Form S-3, we are required to effect an unlimited number of demand registrations pursuant to Form S-3, provided such requests for registration be for an aggregate offering price, net of the underwriting discounts and commissions, equal or greater than $1 million. Pursuant to the investor rights agreement, we have also granted to the piggyback registration rights and demand registration rights. These demand and piggyback registration rights terminate as to each investor when their shares subject to the registration rights agreement may be sold by the investor pursuant to Rule 144 under the Securities Act without regard to both the volume limitations for sales as provided in Rule 144.</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Underwriter Registration Rights. </w:t>
      </w:r>
      <w:r>
        <w:rPr>
          <w:rFonts w:ascii="Arial" w:cs="Arial" w:eastAsia="Arial" w:hAnsi="Arial"/>
          <w:sz w:val="17"/>
          <w:szCs w:val="17"/>
          <w:color w:val="auto"/>
        </w:rPr>
        <w:t>In connection with this offering, we have agreed to issue to the representative of the underwriters or its designees</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referred to as the Representative’s Warrants, to purchase up to a total of 60,000 (or 69,000 if the over-allotment option is exercised in full) shares of our common stock (4% of the aggregate number of shares of common stock sold in this offering). The Representative’s Warrants will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effective date of this registration statement in accordance with FINRA Rule 5110(g)(8)(C). In addition to the one-time demand registration right, the Representative’s Warrants shall have unlimited piggyback rights, for a period of no more than two years from the initial exercise date of the Representative’s Warrants in accordance with FINRA Rule 5110(g)(8)(D).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and Our Charter Documents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is a summary of certain provisions of Delaware law and our amended and restated certificate of incorporation and amended and restated bylaws to be adopted upon the completion of this offering. This summary does not purport to be complete and is qualified in its entirety by reference to the corporate law of Delaware and our amended and restated certificate of incorporation and amended and restated bylaws.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Delaware Law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Section 203 of the Delaware General Corporation Law, an anti-takeover law</w:t>
      </w:r>
      <w:r>
        <w:rPr>
          <w:rFonts w:ascii="Arial" w:cs="Arial" w:eastAsia="Arial" w:hAnsi="Arial"/>
          <w:sz w:val="18"/>
          <w:szCs w:val="18"/>
          <w:i w:val="1"/>
          <w:iCs w:val="1"/>
          <w:color w:val="auto"/>
        </w:rPr>
        <w:t>.</w:t>
      </w:r>
      <w:r>
        <w:rPr>
          <w:rFonts w:ascii="Arial" w:cs="Arial" w:eastAsia="Arial" w:hAnsi="Arial"/>
          <w:sz w:val="18"/>
          <w:szCs w:val="18"/>
          <w:color w:val="auto"/>
        </w:rPr>
        <w:t xml:space="preserve"> In general, Section 203 prohibits a Delaware corporation from engaging in any business combination (as defined below) with any interested stockholder (as defined below) for a period of three years following the date that the stockholder became an interested stockholder, unless:</w:t>
      </w:r>
    </w:p>
    <w:p>
      <w:pPr>
        <w:spacing w:after="0" w:line="184" w:lineRule="exact"/>
        <w:rPr>
          <w:sz w:val="20"/>
          <w:szCs w:val="20"/>
          <w:color w:val="auto"/>
        </w:rPr>
      </w:pPr>
    </w:p>
    <w:p>
      <w:pPr>
        <w:ind w:left="980" w:hanging="324"/>
        <w:spacing w:after="0" w:line="25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prior to that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jc w:val="both"/>
        <w:ind w:left="980" w:hanging="324"/>
        <w:spacing w:after="0" w:line="265"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jc w:val="both"/>
        <w:ind w:left="980" w:hanging="324"/>
        <w:spacing w:after="0" w:line="255"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34"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ind w:left="980" w:hanging="324"/>
        <w:spacing w:after="0" w:line="250"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limited exceptions, any transaction involving the corporation that has the effect of increasing the proportionate share of the stock of any class or series of the corporation beneficially owned by the interested stockholder; or</w:t>
      </w:r>
    </w:p>
    <w:p>
      <w:pPr>
        <w:ind w:left="980" w:hanging="324"/>
        <w:spacing w:after="0" w:line="260"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Charter Documents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charter documents include provisions that could have the effect of discouraging others from making tender offers for our shares and may have the effect of deterring hostile takeovers or delaying changes in our control or management. These provisions are intended to enhance the likelihood of continued stability in the composition of our Board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Effects of authorized but unissued common stock and preferred stock. </w:t>
      </w:r>
      <w:r>
        <w:rPr>
          <w:rFonts w:ascii="Arial" w:cs="Arial" w:eastAsia="Arial" w:hAnsi="Arial"/>
          <w:sz w:val="16"/>
          <w:szCs w:val="16"/>
          <w:color w:val="auto"/>
        </w:rPr>
        <w:t>One of the effects of the existence of authorized but unissued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and preferred stock may be to enable our Board to make more difficult or to discourage an attempt to obtain control of our Company by means of a merger, tender offer, proxy contest or otherwise, and thereby to protect the continuity of management</w:t>
      </w:r>
      <w:r>
        <w:rPr>
          <w:rFonts w:ascii="Arial" w:cs="Arial" w:eastAsia="Arial" w:hAnsi="Arial"/>
          <w:sz w:val="16"/>
          <w:szCs w:val="16"/>
          <w:i w:val="1"/>
          <w:iCs w:val="1"/>
          <w:color w:val="auto"/>
        </w:rPr>
        <w:t>.</w:t>
      </w:r>
      <w:r>
        <w:rPr>
          <w:rFonts w:ascii="Arial" w:cs="Arial" w:eastAsia="Arial" w:hAnsi="Arial"/>
          <w:sz w:val="16"/>
          <w:szCs w:val="16"/>
          <w:color w:val="auto"/>
        </w:rPr>
        <w:t xml:space="preserve"> If, in the due exercise of its fiduciary obligations, the Board were to determine that a takeover proposal was not in our best interest, such shares could be issued by the Board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by effecting an acquisition that might complicate or preclude the takeover, or otherwise.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Our amended and restated certificate of incorporation does not provide for cumulative voting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allow holders of less than a majority of the stock to elect some directors.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Our amended and restated bylaws provide that all vacancies may be filled by the affirmative vote of a majority of directors then in</w:t>
      </w:r>
      <w:r>
        <w:rPr>
          <w:rFonts w:ascii="Arial" w:cs="Arial" w:eastAsia="Arial" w:hAnsi="Arial"/>
          <w:sz w:val="18"/>
          <w:szCs w:val="18"/>
          <w:i w:val="1"/>
          <w:iCs w:val="1"/>
          <w:color w:val="auto"/>
        </w:rPr>
        <w:t xml:space="preserve"> </w:t>
      </w:r>
      <w:r>
        <w:rPr>
          <w:rFonts w:ascii="Arial" w:cs="Arial" w:eastAsia="Arial" w:hAnsi="Arial"/>
          <w:sz w:val="18"/>
          <w:szCs w:val="18"/>
          <w:color w:val="auto"/>
        </w:rPr>
        <w:t>office, even if less than a quorum.</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Special Meeting of Stockholders and Stockholder Action by Written Consent. </w:t>
      </w:r>
      <w:r>
        <w:rPr>
          <w:rFonts w:ascii="Arial" w:cs="Arial" w:eastAsia="Arial" w:hAnsi="Arial"/>
          <w:sz w:val="17"/>
          <w:szCs w:val="17"/>
          <w:color w:val="auto"/>
        </w:rPr>
        <w:t>A special meeting of stockholders may only be called by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or the chairperson of our Board. All stockholder actions must be effected at a duly called meeting of stockholders and not by written consent.</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Advance Notice Provisions. Our amended and restated bylaws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Choice of Forum. Our amended and restated certificate of incorporation and amended and restated bylaws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bylaws; or any action asserting a claim against us that is governed by the internal affairs doctrine.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shares of common stock will be VStock Transfer, LLC. The transfer agent and registrar’s address is 18 Lafayette Place, Woodmere, New York 11598.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National Securities Exchange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have our shares of common stock listed on the NYSE American under the symbol “AZTR.”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Prior to this offering, there has been no public market for shares of our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Future sales of substantial amounts of shares of common stock, including shares issued upon the exercise of outstanding warrants and options, in the public market after this offering, or the possibility of these sales occurring, could adversely affect the prevailing market price for our common stock or impair our ability to raise equity capital.</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completion of this offering, a total of 12,086,510 shares of common stock will be outstanding, assuming the automatic conversion of all outstanding convertible preferred stock and convertible promissory notes into shares of common stock in connection with the completion of this offering, based on the initial public offering price of $5.00 per share (which is the midpoint of the price range set forth on the cover page of this prospectus). All 1,500,000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remaining 10,586,510 shares of common stock will be “restricted securities,” as that term is defined in Rule 144 under the Securities Act</w:t>
      </w:r>
      <w:r>
        <w:rPr>
          <w:rFonts w:ascii="Arial" w:cs="Arial" w:eastAsia="Arial" w:hAnsi="Arial"/>
          <w:sz w:val="18"/>
          <w:szCs w:val="18"/>
          <w:i w:val="1"/>
          <w:iCs w:val="1"/>
          <w:color w:val="auto"/>
        </w:rPr>
        <w:t>.</w:t>
      </w:r>
      <w:r>
        <w:rPr>
          <w:rFonts w:ascii="Arial" w:cs="Arial" w:eastAsia="Arial" w:hAnsi="Arial"/>
          <w:sz w:val="18"/>
          <w:szCs w:val="18"/>
          <w:color w:val="auto"/>
        </w:rPr>
        <w:t xml:space="preserve"> These restricted securities are eligible for public sale only if they are registered under the Securities Act or if they qualify for an exemption from registration under Rules 144 or 701 under the Securities Act, which are summarized below.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will be available for sale in the public market beginning more than 90 days after the date of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w:t>
      </w:r>
      <w:r>
        <w:rPr>
          <w:rFonts w:ascii="Arial" w:cs="Arial" w:eastAsia="Arial" w:hAnsi="Arial"/>
          <w:sz w:val="18"/>
          <w:szCs w:val="18"/>
          <w:i w:val="1"/>
          <w:iCs w:val="1"/>
          <w:color w:val="auto"/>
        </w:rPr>
        <w:t>.</w:t>
      </w:r>
      <w:r>
        <w:rPr>
          <w:rFonts w:ascii="Arial" w:cs="Arial" w:eastAsia="Arial" w:hAnsi="Arial"/>
          <w:sz w:val="18"/>
          <w:szCs w:val="18"/>
          <w:color w:val="auto"/>
        </w:rPr>
        <w:t xml:space="preserve">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below, within any three-month period beginning 90 days after the date of this prospectus, a number of shares that does not exceed the greater of:</w:t>
      </w:r>
    </w:p>
    <w:p>
      <w:pPr>
        <w:spacing w:after="0" w:line="184"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3"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such sale.</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one of our affiliates during the immediately preceding 90 days to sell these shares in reliance upon Rule 144, but without being required to comply with the public information, holding period, volume limitation, or notice provisions of Rule 144</w:t>
      </w:r>
      <w:r>
        <w:rPr>
          <w:rFonts w:ascii="Arial" w:cs="Arial" w:eastAsia="Arial" w:hAnsi="Arial"/>
          <w:sz w:val="17"/>
          <w:szCs w:val="17"/>
          <w:i w:val="1"/>
          <w:iCs w:val="1"/>
          <w:color w:val="auto"/>
        </w:rPr>
        <w:t>.</w:t>
      </w:r>
      <w:r>
        <w:rPr>
          <w:rFonts w:ascii="Arial" w:cs="Arial" w:eastAsia="Arial" w:hAnsi="Arial"/>
          <w:sz w:val="17"/>
          <w:szCs w:val="17"/>
          <w:color w:val="auto"/>
        </w:rPr>
        <w:t xml:space="preserve"> Rule 701 also permits our affiliates to sell their Rule 701 shares under Rule 144 without complying with the holding period requirements of Rule 144</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all holders of Rule 701 shares are required to wait until 90 days after the date of this prospectus before selling such shares pursuant to Rule 701.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of our directors and officers have agreed, subject to certain exceptions, not to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twelve (12) months after the date of this prospectus, without the prior written consent of the representative. We, subject to certain exceptions, and all of our other stockholders of 0.5% or more of the outstanding shares of common stock (or securities convertible into shares of common stock, including options and warrants), have agreed, subject to certain exceptions, not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six (6) months after the date of this prospectus, without the prior written consent of the representative.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common stock to be issued or reserved for issuance under our 2016 Plan and 2023 Plans. Shares covered by this registration statement will be eligible for sale in the public market, upon the expiration or release from the terms of the lock-up agreements and subject to vesting of such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71"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jc w:val="both"/>
        <w:ind w:firstLine="648"/>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84"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170" w:lineRule="exact"/>
        <w:rPr>
          <w:sz w:val="20"/>
          <w:szCs w:val="20"/>
          <w:color w:val="auto"/>
        </w:rPr>
      </w:pPr>
    </w:p>
    <w:p>
      <w:pPr>
        <w:jc w:val="both"/>
        <w:ind w:left="980" w:hanging="324"/>
        <w:spacing w:after="0" w:line="26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USRPIs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ThinkEquity LLC is acting as representative of the underwriters of this offering. Subject to the terms and conditions of the underwriting agreement, we have agreed to sell to each underwriter named below, and each underwriter named below has severally agreed to purchase, at the public offering price less the underwriting discounts set forth on the cover page of this prospectus, the number of shares of common stock listed next to its name in the following table:</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Underwriter</w:t>
            </w:r>
          </w:p>
        </w:tc>
        <w:tc>
          <w:tcPr>
            <w:tcW w:w="4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4120" w:type="dxa"/>
            <w:vAlign w:val="bottom"/>
          </w:tcPr>
          <w:p>
            <w:pPr>
              <w:jc w:val="center"/>
              <w:ind w:left="321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0</wp:posOffset>
            </wp:positionV>
            <wp:extent cx="1200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ThinkEquity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70928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9285" cy="14541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underwriters are committed to purchase all shares offered by us other than those covered by the over-allotment option described below, if any are purchased.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The underwriters reserve the right to withdraw, cancel or modify offers to the public and to reject orders in whole or in part.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underwriters propose to offer the shares offered by us to the public at the public offering price set forth on the cover of the prospectus. After the shares are released for sale to the public, the underwriters may change the offering price and other selling terms at various times.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granted the underwriters an over-allotment option. This option, which is exercisable for up to 45 days after the date of this prospectus, permits the representative to purchase a maximum of additional shares of common stock (15% of the shares sold in this offering) from us to cover over-allotments, if any. If the representative exercises all or part of this option, it will purchase shares covered by the option at the initial public offering price per share that appears on the cover page of this prospectus, less the underwriting discount. If this option is exercised in full, the total offering price to the public will be $8.6 million and the total net proceeds, before expenses, to us will be $8.0 million, assuming an initial public offering price of $5.00 per share (which is the midpoint of the price range set forth on the cover page of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initial public offering price, underwriting discounts and proceeds, before expenses, to us. The information assumes either no exercise or full exercise by the underwriters of their over-allotment option.</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Total Without</w:t>
            </w:r>
          </w:p>
        </w:tc>
        <w:tc>
          <w:tcPr>
            <w:tcW w:w="20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Total With</w:t>
            </w:r>
          </w:p>
        </w:tc>
      </w:tr>
      <w:tr>
        <w:trPr>
          <w:trHeight w:val="216"/>
        </w:trPr>
        <w:tc>
          <w:tcPr>
            <w:tcW w:w="2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Over- Allotment</w:t>
            </w: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Over- Allotment</w:t>
            </w:r>
          </w:p>
        </w:tc>
      </w:tr>
      <w:tr>
        <w:trPr>
          <w:trHeight w:val="234"/>
        </w:trPr>
        <w:tc>
          <w:tcPr>
            <w:tcW w:w="2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 Share</w:t>
            </w:r>
          </w:p>
        </w:tc>
        <w:tc>
          <w:tcPr>
            <w:tcW w:w="2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20"/>
                <w:szCs w:val="20"/>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440" w:type="dxa"/>
            <w:vAlign w:val="bottom"/>
            <w:gridSpan w:val="2"/>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Underwriting discount (7.5%)</w:t>
            </w:r>
          </w:p>
        </w:tc>
        <w:tc>
          <w:tcPr>
            <w:tcW w:w="2440" w:type="dxa"/>
            <w:vAlign w:val="bottom"/>
            <w:gridSpan w:val="2"/>
          </w:tcPr>
          <w:p>
            <w:pPr>
              <w:jc w:val="right"/>
              <w:ind w:right="163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63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6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 to us</w:t>
            </w:r>
          </w:p>
        </w:tc>
        <w:tc>
          <w:tcPr>
            <w:tcW w:w="2440" w:type="dxa"/>
            <w:vAlign w:val="bottom"/>
            <w:gridSpan w:val="2"/>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6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agreed to pay a non-accountable expense allowance to the underwriters equal to 1.0% of the gross proceeds received in this offering (excluding proceeds received from exercise of the underwriters’ over-allotment 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both"/>
        <w:ind w:firstLine="648"/>
        <w:spacing w:after="0" w:line="277" w:lineRule="auto"/>
        <w:rPr>
          <w:sz w:val="20"/>
          <w:szCs w:val="20"/>
          <w:color w:val="auto"/>
        </w:rPr>
      </w:pPr>
      <w:r>
        <w:rPr>
          <w:rFonts w:ascii="Arial" w:cs="Arial" w:eastAsia="Arial" w:hAnsi="Arial"/>
          <w:sz w:val="18"/>
          <w:szCs w:val="18"/>
          <w:color w:val="auto"/>
        </w:rPr>
        <w:t>We have paid an expense deposit of $35,000 to the representative for out-of-pocket-accountable expenses, which will be returned to us to the extent such out-of-pocket accountable expenses are not actually incurred in accordance with FINRA Rule 5110(f)(2)(C).</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we have agreed to reimburse the representative for (i) fees and expenses of legal counsel to the underwriters in an amount not to exceed $125,000; (ii) fees and expenses related to the use of Ipreo’s book building, prospectus tracking and compliance software for the offering in the amount of $29,500; (iii) up to $15,000 for background checks of our officers and directors; (iv) all fees, expenses and disbursements relating to the registration, qualification or exemption of such shares under the securities laws of such foreign jurisdictions as the representative may reasonably designate; (iv) all fees, expenses and disbursements relating to the registration, qualification or exemption of such shares under the “blue sky” securities laws of such states, if applicable, and other jurisdictions as the representative may reasonably designate; (v) $10,000 for data services and communications expenses; (vi) $3,000 for the costs associated with bound volumes of the public offering materials as well as commemorative mementos and lucite tombstones; (vii) up to $10,000 for actual accountable “road show” expenses; and (viii) up to $30,000 for market making and trading, and clearing firm settlement expenses for the offering.</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estimate that the total expenses of the offering payable by us, excluding the total underwriting discount and non-accountable expense allowance, will be approximately $1,035,000, of which approximately $610,000 have been paid to date and approximately $425,00 remain to be paid as of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Representative’s Warrants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agreed to issue to the representative or its designees warrants to purchase up to a total of 60,000 (or 69,000 if the over-allotment option is exercised in full) shares of our common stock (4% of the aggregate number of shares of common stock sold in this offering), or the Representative’s Warrants. The Representative’s Warrants will be exercisable at a per share exercise price equal to 125% of the public offering price per share of the shares of common stock sold in this offering. The Representative’s Warrants are exercisable at any time, from time to time, in whole or in part, during the four and one half year period commencing 180 days from the commencement of sales of the securities in this offering.</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Representative’s Warrants and the shares of common stock underlying the Representative’s Warrants have been deemed compensation by FINRA and are, therefore, subject to a 180-day lock-up pursuant to FINRA Rule 5110(g)(1). The representative or permitted assignees under such rule may not sell, transfer, assign, pledge, or hypothecate the representative’s Warrants or the securities underlying the Representative’s Warrants, nor will the representative engage in any hedging, short sale, derivative, put, or call transaction that would result in the effective economic disposition of the Representative’s Warrants or the underlying shares of common stock for a period of 180 days from the effective date of the registration statement. Additionally, the Representative’s Warrants may not be sold, transferred, assigned, pledged, or hypothecated for a 180-day period following the effective date of the registration statement, except to any underwriter and selected dealer participating in the offering and their bona fide officers or partners. The Representative’s Warrants will provide for adjustment in the number and price of the Representative’s Warrants and the shares of common stock underlying the Representative’s Warrants in the event of recapitalization, merger, stock split, or other structural transaction, or a future financing undertaken by us. The Representative’s Warrants will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effective date of this registration statement in accordance with FINRA Rule 5110(g)(8)(C). In addition to the one-time demand registration right, the Representative’s Warrants shall have unlimited piggyback rights, for a period of no more than two years from the initial exercise date of the Representative’s Warrants in accordance with FINRA Rule 5110(g)(8)(D). The Representative’s Warrants will also provide for customary anti-dilution provisions (for stock dividends and splits and recapitalizations) consistent with FINRA Rule 5110, and further, the number of shares underlying the Representative’s Warrants shall be reduced if necessary to comply with FINRA rules and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Accounts</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The underwriters do not intend to confirm sales of the securities offered hereby to any accounts over which they have discretionary authority.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Each of our directors and officers have agreed, subject to certain exceptions, not to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twelve (12) months after the date of this prospectus, without the prior written consent of the representative. We, subject to certain exceptions, and all of our other stockholders of 0.5% or more of the outstanding shares of common stock (or securities convertible into shares of common stock, including options and warrants), have agreed, subject to certain exceptions, not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six (6) months after the date of this prospectus, without the prior written consent of the representative.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agreed to file a customary universal shelf registration statement on Form S-3 within 30 days of the earlier of (i) the expiration of the restricted period described above and (ii) the date of its initial eligibility to do so. Additionally, we agreed that for a period of twelve (12) months after this offering we will not directly or indirectly in any “at-the-market”, continuous equity, equity lines, or variable rate transaction, offer to sell, sell, contract to sell, grant any option to sell or otherwise dispose of shares of our capital stock or any securities convertible into or exercisable or exchangeable for our shares of capital stock, without the prior written consent of ThinkEquity.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the expiration of the applicable lock-up period, all of the issued and outstanding shares of our common stock will be eligible for future sale, subject to the applicable volume, manner of sale, holding period, and other limitations of Rule 144.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Underwriting Agreement will provide that for a period of fifteen (15) months from the closing of the offering, we will grant the representative an irrevocable right of first refusal to act as sole investment banker, sole book-runner, sole financial advisor, sole underwriter and/or sole placement agent, at the representative’s sole discretion, for each and every future public and private equity and debt offering, including all equity linked financings, during such fifteen (15) month period for us, or any successor to or any subsidiary of us, on terms customary to the representative. The representative has the sole right to determine whether or not any other broker dealer shall have the right to participate in any such offering and the economic terms of any such participation.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extent permitted by law, we have agreed to indemnify the underwriters and its affiliates, stockholders, directors, officers, employees, members and controlling persons against certain liabilities, including liabilities under the Securities Act, and to contribute to payments that the underwriters may be required to make for these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 underwriters’ websites is not part of, nor incorporated by reference into, this prospectus or the registration statement of which this prospectus forms a part, has not been approved or endorsed by us or any underwriter in its capacity as underwriter, and should not be relied upon by investors.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Stabilizing transactions permit bids to purchase securities so long as the stabilizing bids do not exceed a specified maximum and are engaged in for the purpose of preventing or retarding a decline in the market price of the securities while the offering is in progress.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securities in excess of the number of securities that underwriters are obligated to purchase. This creates a syndicate short position which may be either a covered short position or a naked short position. In a covered short position, the number of securities over-allotted by the underwriters is not greater than the number of securities that they may purchase in the over-allotment option. In a naked short position, the number of securities involved is greater than the number of securities in the over-allotment option. The underwriters may close out any short position by exercising their over-allotment option and/or purchasing securities in the open market.</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Syndicate covering transactions involve purchases of securities in the open market after the distribution has been completed in order to cover syndicate short positions. In determining the source of securities to close out the short position, the underwriters will consider, among other things, the price of securities available for purchase in the open market as compared with the price at which they may purchase securities through exercise of the over-allotment option. If the underwriters sell more securities than could be covered by exercise of the over-allotment option and, therefore, have a naked short position, the position can be closed out only by buying securities in the open market. A naked short position is more likely to be created if the underwriters are concerned that after pricing there could be downward pressure on the price of the securities in the open market that could adversely affect investors who purchase in the offering.</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securities originally sold by that syndicate member are purchased in stabilizing or syndicate covering transactions to cover syndicate short positions.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securities or preventing or retarding a decline in the market price of our securities. As a result, the price of our securities in the open market may be higher than it would otherwise be in the absence of these transactions. Neither we nor the underwriters make any representation or prediction as to the effect that the transactions described above may have on the price of our securities. These transactions may be effected on the NYSE American, in the over-the-counter market or otherwise and, if commenced, may be discontinued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our common stock on the NYSE American or on the OTCQB in accordance with Rule 103 of Regulation M under the Exchange Act, during a period before the commencement of offers or sales of the securities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the underwriters and their affiliates may provide in the future, various advisory, investment and commercial banking and other services to us in the ordinary course of business, for which they may receive customary fees and commissions. However, we have not yet had, and have no present arrangements with any of the underwriters for any further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Area—Belgium, Germany, Luxembourg and Netherlands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in this document has been prepared on the basis that all offers of securities will be made pursuant to an exemption under the Directive 2003/71/EC (“Prospectus Directive”), as implemented in Member States of the European Economic Area (each, a “Relevant Member State”), from the requirement to produce a prospectus for offers of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70" w:lineRule="exact"/>
        <w:rPr>
          <w:sz w:val="20"/>
          <w:szCs w:val="20"/>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France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Italy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offering of the securities in the Republic of Italy has not been authorized by the Italian Securities and Exchange Commission (Commissione Nazionale per le Societa e la Borsa, or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spacing w:after="0" w:line="187" w:lineRule="exact"/>
        <w:rPr>
          <w:sz w:val="20"/>
          <w:szCs w:val="20"/>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Italian qualified investors (“Qualified Investors”), as defined in Article 100 of Decree no. 58 by reference to Article 34-ter of CONSOB Regulation no. 11971 of 14 May 1999, as amended (“Regulation no. 1197l”);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other circumstances that are exempt from the rules on public offer pursuant to Article 100 of Decree No. 58 and Regulation no. 1197l.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offer, sale or delivery of the securities or distribution of any offer document relating to the securities in Italy (excluding placements where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Qualified Investor solicits an offer from the issuer) under the paragraphs above must be:</w:t>
      </w:r>
    </w:p>
    <w:p>
      <w:pPr>
        <w:spacing w:after="0" w:line="211" w:lineRule="exact"/>
        <w:rPr>
          <w:sz w:val="20"/>
          <w:szCs w:val="20"/>
          <w:color w:val="auto"/>
        </w:rPr>
      </w:pPr>
    </w:p>
    <w:p>
      <w:pPr>
        <w:jc w:val="both"/>
        <w:ind w:left="980" w:hanging="324"/>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compliance with all relevant Italian securities, tax and exchange controls and any other applicable laws.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Portugal</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Sweden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Switzerland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 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Greenberg Traurig, LLP, Irvine, California, will pass upon the validity of the shares of common stock offered hereby</w:t>
      </w:r>
      <w:r>
        <w:rPr>
          <w:rFonts w:ascii="Arial" w:cs="Arial" w:eastAsia="Arial" w:hAnsi="Arial"/>
          <w:sz w:val="18"/>
          <w:szCs w:val="18"/>
          <w:i w:val="1"/>
          <w:iCs w:val="1"/>
          <w:color w:val="auto"/>
        </w:rPr>
        <w:t>.</w:t>
      </w:r>
      <w:r>
        <w:rPr>
          <w:rFonts w:ascii="Arial" w:cs="Arial" w:eastAsia="Arial" w:hAnsi="Arial"/>
          <w:sz w:val="18"/>
          <w:szCs w:val="18"/>
          <w:color w:val="auto"/>
        </w:rPr>
        <w:t xml:space="preserve"> Venable LLP, New York, New York has acted as counsel for the underwriters in connection with certain legal matters related to this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financial statements as of and for the fiscal years ended December 31, 2022 and 2021 included in this prospectus have been so included in reliance on the report of Grassi &amp; Co., CPAs, P.C., an independent registered public accounting firm, given on the authority of said firm as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shares of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You may read and copy the registration statement, the related exhibits and other material we file with the SEC at the SEC’s public reference room in Washington, D.C. at 100 F Street, Room 1580, N.E., Washington, D.C. 20549. You can also request copies of those documents, upon payment of a duplicating fee, by writing to the SEC. Please call the SEC at 1-800-SEC-0330 for further information on the operation of the public reference rooms. The SEC also maintains an Internet website that contains reports, proxy statements and other information about issuers, like us,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Upon completion of this offering, we will become subject to the information and reporting requirements of the Securities Exchange Act of 1934, as amended, and, in accordance with this law, will be required to file periodic reports, proxy statements and other information with the SEC. These periodic reports, proxy statements and other information will be available on the website of the SEC referred to above. We also maintain a website at </w:t>
      </w:r>
      <w:r>
        <w:rPr>
          <w:rFonts w:ascii="Arial" w:cs="Arial" w:eastAsia="Arial" w:hAnsi="Arial"/>
          <w:sz w:val="18"/>
          <w:szCs w:val="18"/>
          <w:u w:val="single" w:color="auto"/>
          <w:color w:val="auto"/>
        </w:rPr>
        <w:t>www.azitrainc.com</w:t>
      </w:r>
      <w:r>
        <w:rPr>
          <w:rFonts w:ascii="Arial" w:cs="Arial" w:eastAsia="Arial" w:hAnsi="Arial"/>
          <w:sz w:val="18"/>
          <w:szCs w:val="18"/>
          <w:color w:val="auto"/>
        </w:rPr>
        <w:t>. Our website and the information contained on, or that can be accessed through, our website is not deemed to be incorporated by reference in, and is not considered part of, this prospectus. You should not rely on any such information in making your decision whether to purchase our common stock.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AZITRA,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8"/>
                <w:szCs w:val="18"/>
                <w:color w:val="0000EE"/>
                <w:w w:val="94"/>
              </w:rPr>
              <w:t>Report of Independent Registered Public Accounting Firm, Grassi &amp; Co., CPAs, P.C., Jericho, New York, PCAOB ID 606 for the years</w:t>
            </w:r>
          </w:p>
        </w:tc>
        <w:tc>
          <w:tcPr>
            <w:tcW w:w="1100" w:type="dxa"/>
            <w:vAlign w:val="bottom"/>
            <w:tcBorders>
              <w:bottom w:val="single" w:sz="8" w:color="CCEEFF"/>
            </w:tcBorders>
            <w:shd w:val="clear" w:color="auto" w:fill="CCEEFF"/>
          </w:tcPr>
          <w:p>
            <w:pPr>
              <w:spacing w:after="0"/>
              <w:rPr>
                <w:sz w:val="17"/>
                <w:szCs w:val="17"/>
                <w:color w:val="auto"/>
              </w:rPr>
            </w:pPr>
          </w:p>
        </w:tc>
      </w:tr>
      <w:tr>
        <w:trPr>
          <w:trHeight w:val="196"/>
        </w:trPr>
        <w:tc>
          <w:tcPr>
            <w:tcW w:w="10140" w:type="dxa"/>
            <w:vAlign w:val="bottom"/>
            <w:gridSpan w:val="12"/>
            <w:shd w:val="clear" w:color="auto" w:fill="CCEEFF"/>
          </w:tcPr>
          <w:p>
            <w:pPr>
              <w:spacing w:after="0" w:line="196" w:lineRule="exact"/>
              <w:rPr>
                <w:sz w:val="20"/>
                <w:szCs w:val="20"/>
                <w:color w:val="auto"/>
              </w:rPr>
            </w:pPr>
            <w:r>
              <w:rPr>
                <w:rFonts w:ascii="Arial" w:cs="Arial" w:eastAsia="Arial" w:hAnsi="Arial"/>
                <w:sz w:val="18"/>
                <w:szCs w:val="18"/>
                <w:color w:val="0000EE"/>
              </w:rPr>
              <w:t>ended December 31, 2022 and 2021</w:t>
            </w:r>
          </w:p>
        </w:tc>
        <w:tc>
          <w:tcPr>
            <w:tcW w:w="1100" w:type="dxa"/>
            <w:vAlign w:val="bottom"/>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96"/>
              </w:rPr>
              <w:t>F-1</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40" w:type="dxa"/>
            <w:vAlign w:val="bottom"/>
            <w:gridSpan w:val="12"/>
          </w:tcPr>
          <w:p>
            <w:pPr>
              <w:spacing w:after="0" w:line="176" w:lineRule="exact"/>
              <w:rPr>
                <w:sz w:val="20"/>
                <w:szCs w:val="20"/>
                <w:color w:val="auto"/>
              </w:rPr>
            </w:pPr>
            <w:r>
              <w:rPr>
                <w:rFonts w:ascii="Arial" w:cs="Arial" w:eastAsia="Arial" w:hAnsi="Arial"/>
                <w:sz w:val="18"/>
                <w:szCs w:val="18"/>
                <w:color w:val="0000EE"/>
              </w:rPr>
              <w:t>Balance Sheets as of December 31, 2022 and December 31, 2021</w:t>
            </w:r>
          </w:p>
        </w:tc>
        <w:tc>
          <w:tcPr>
            <w:tcW w:w="11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F-2</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8"/>
              </w:rPr>
              <w:t>Statements of Operations for the years ended December 31, 2022 and 2021</w:t>
            </w:r>
          </w:p>
        </w:tc>
        <w:tc>
          <w:tcPr>
            <w:tcW w:w="4720" w:type="dxa"/>
            <w:vAlign w:val="bottom"/>
            <w:tcBorders>
              <w:bottom w:val="single" w:sz="8" w:color="CCEEFF"/>
            </w:tcBorders>
            <w:gridSpan w:val="6"/>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6"/>
              </w:rPr>
              <w:t>F-3</w:t>
            </w:r>
          </w:p>
        </w:tc>
      </w:tr>
      <w:tr>
        <w:trPr>
          <w:trHeight w:val="176"/>
        </w:trPr>
        <w:tc>
          <w:tcPr>
            <w:tcW w:w="10140" w:type="dxa"/>
            <w:vAlign w:val="bottom"/>
            <w:gridSpan w:val="12"/>
          </w:tcPr>
          <w:p>
            <w:pPr>
              <w:spacing w:after="0" w:line="176" w:lineRule="exact"/>
              <w:rPr>
                <w:sz w:val="20"/>
                <w:szCs w:val="20"/>
                <w:color w:val="auto"/>
              </w:rPr>
            </w:pPr>
            <w:r>
              <w:rPr>
                <w:rFonts w:ascii="Arial" w:cs="Arial" w:eastAsia="Arial" w:hAnsi="Arial"/>
                <w:sz w:val="18"/>
                <w:szCs w:val="18"/>
                <w:color w:val="0000EE"/>
              </w:rPr>
              <w:t>Statements of Changes in Stockholders’ Equity (Deficit) for the years ended December 31, 2022 and 2021</w:t>
            </w:r>
          </w:p>
        </w:tc>
        <w:tc>
          <w:tcPr>
            <w:tcW w:w="11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6"/>
              </w:rPr>
              <w:t>F-4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 for the years ended December 31, 2022 and 2021</w:t>
            </w:r>
          </w:p>
        </w:tc>
        <w:tc>
          <w:tcPr>
            <w:tcW w:w="11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6"/>
              </w:rPr>
              <w:t>F-5</w:t>
            </w:r>
          </w:p>
        </w:tc>
      </w:tr>
      <w:tr>
        <w:trPr>
          <w:trHeight w:val="175"/>
        </w:trPr>
        <w:tc>
          <w:tcPr>
            <w:tcW w:w="546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4680" w:type="dxa"/>
            <w:vAlign w:val="bottom"/>
            <w:tcBorders>
              <w:top w:val="single" w:sz="8" w:color="CCEEFF"/>
            </w:tcBorders>
            <w:gridSpan w:val="5"/>
          </w:tcPr>
          <w:p>
            <w:pPr>
              <w:spacing w:after="0"/>
              <w:rPr>
                <w:sz w:val="15"/>
                <w:szCs w:val="15"/>
                <w:color w:val="auto"/>
              </w:rPr>
            </w:pPr>
          </w:p>
        </w:tc>
        <w:tc>
          <w:tcPr>
            <w:tcW w:w="110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92"/>
              </w:rPr>
              <w:t>F-6 - F-32</w:t>
            </w:r>
          </w:p>
        </w:tc>
      </w:tr>
      <w:tr>
        <w:trPr>
          <w:trHeight w:val="237"/>
        </w:trPr>
        <w:tc>
          <w:tcPr>
            <w:tcW w:w="216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6"/>
        </w:trPr>
        <w:tc>
          <w:tcPr>
            <w:tcW w:w="53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9"/>
              </w:rPr>
              <w:t>Balance Sheets as of March 31, 2023 (Unaudited) and December 31, 2022</w:t>
            </w:r>
          </w:p>
        </w:tc>
        <w:tc>
          <w:tcPr>
            <w:tcW w:w="4780" w:type="dxa"/>
            <w:vAlign w:val="bottom"/>
            <w:tcBorders>
              <w:bottom w:val="single" w:sz="8" w:color="CCEEFF"/>
            </w:tcBorders>
            <w:gridSpan w:val="7"/>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1"/>
              </w:rPr>
              <w:t>F-33</w:t>
            </w:r>
          </w:p>
        </w:tc>
      </w:tr>
      <w:tr>
        <w:trPr>
          <w:trHeight w:val="176"/>
        </w:trPr>
        <w:tc>
          <w:tcPr>
            <w:tcW w:w="10140" w:type="dxa"/>
            <w:vAlign w:val="bottom"/>
            <w:gridSpan w:val="12"/>
          </w:tcPr>
          <w:p>
            <w:pPr>
              <w:spacing w:after="0" w:line="176" w:lineRule="exact"/>
              <w:rPr>
                <w:sz w:val="20"/>
                <w:szCs w:val="20"/>
                <w:color w:val="auto"/>
              </w:rPr>
            </w:pPr>
            <w:r>
              <w:rPr>
                <w:rFonts w:ascii="Arial" w:cs="Arial" w:eastAsia="Arial" w:hAnsi="Arial"/>
                <w:sz w:val="18"/>
                <w:szCs w:val="18"/>
                <w:color w:val="0000EE"/>
              </w:rPr>
              <w:t>Statements of Operations for the three months ended March 31, 2023, And 2022 (Unaudited)</w:t>
            </w:r>
          </w:p>
        </w:tc>
        <w:tc>
          <w:tcPr>
            <w:tcW w:w="110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1"/>
              </w:rPr>
              <w:t>F-34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Statements of Stockholders’ Equity for the three months ended March 31, 2023, And 2022 (Unaudited)</w:t>
            </w:r>
          </w:p>
        </w:tc>
        <w:tc>
          <w:tcPr>
            <w:tcW w:w="11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1"/>
              </w:rPr>
              <w:t>F-35</w:t>
            </w:r>
          </w:p>
        </w:tc>
      </w:tr>
      <w:tr>
        <w:trPr>
          <w:trHeight w:val="175"/>
        </w:trPr>
        <w:tc>
          <w:tcPr>
            <w:tcW w:w="742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99"/>
              </w:rPr>
              <w:t>Statements of Cash Flows for the three months ended March 31, 2023, And 2022 (Unaudited)</w:t>
            </w:r>
          </w:p>
        </w:tc>
        <w:tc>
          <w:tcPr>
            <w:tcW w:w="2720" w:type="dxa"/>
            <w:vAlign w:val="bottom"/>
            <w:tcBorders>
              <w:top w:val="single" w:sz="8" w:color="CCEEFF"/>
            </w:tcBorders>
            <w:gridSpan w:val="2"/>
          </w:tcPr>
          <w:p>
            <w:pPr>
              <w:spacing w:after="0"/>
              <w:rPr>
                <w:sz w:val="15"/>
                <w:szCs w:val="15"/>
                <w:color w:val="auto"/>
              </w:rPr>
            </w:pPr>
          </w:p>
        </w:tc>
        <w:tc>
          <w:tcPr>
            <w:tcW w:w="1100" w:type="dxa"/>
            <w:vAlign w:val="bottom"/>
            <w:tcBorders>
              <w:top w:val="single" w:sz="8" w:color="CCEEFF"/>
            </w:tcBorders>
          </w:tcPr>
          <w:p>
            <w:pPr>
              <w:jc w:val="center"/>
              <w:ind w:left="30"/>
              <w:spacing w:after="0" w:line="176" w:lineRule="exact"/>
              <w:rPr>
                <w:sz w:val="20"/>
                <w:szCs w:val="20"/>
                <w:color w:val="auto"/>
              </w:rPr>
            </w:pPr>
            <w:r>
              <w:rPr>
                <w:rFonts w:ascii="Arial" w:cs="Arial" w:eastAsia="Arial" w:hAnsi="Arial"/>
                <w:sz w:val="18"/>
                <w:szCs w:val="18"/>
                <w:color w:val="auto"/>
                <w:w w:val="91"/>
              </w:rPr>
              <w:t>F-36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Financial Statement</w:t>
            </w:r>
          </w:p>
        </w:tc>
        <w:tc>
          <w:tcPr>
            <w:tcW w:w="110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w w:val="91"/>
              </w:rPr>
              <w:t>F-37 - F-51</w:t>
            </w:r>
          </w:p>
        </w:tc>
      </w:tr>
      <w:tr>
        <w:trPr>
          <w:trHeight w:val="439"/>
        </w:trPr>
        <w:tc>
          <w:tcPr>
            <w:tcW w:w="2880" w:type="dxa"/>
            <w:vAlign w:val="bottom"/>
            <w:tcBorders>
              <w:top w:val="single" w:sz="8" w:color="0000EE"/>
              <w:bottom w:val="single" w:sz="8" w:color="auto"/>
            </w:tcBorders>
            <w:gridSpan w:val="3"/>
          </w:tcPr>
          <w:p>
            <w:pPr>
              <w:spacing w:after="0"/>
              <w:rPr>
                <w:sz w:val="24"/>
                <w:szCs w:val="24"/>
                <w:color w:val="auto"/>
              </w:rPr>
            </w:pPr>
          </w:p>
        </w:tc>
        <w:tc>
          <w:tcPr>
            <w:tcW w:w="3820" w:type="dxa"/>
            <w:vAlign w:val="bottom"/>
            <w:tcBorders>
              <w:top w:val="single" w:sz="8" w:color="CCEEFF"/>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114</w:t>
            </w:r>
          </w:p>
        </w:tc>
        <w:tc>
          <w:tcPr>
            <w:tcW w:w="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5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7" w:name="page128"/>
    <w:bookmarkEnd w:id="127"/>
    <w:p>
      <w:pPr>
        <w:ind w:left="27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Azitra,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Branford, 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Azitra, Inc. (the “Company”) as of December 31, 2022 and 2021, and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Regarding the Company’s Ability to Continue as a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that Azitra, Inc., will continue as a going concern. As discussed in Note 1 to the financial statements, the Company’s significant operating losses raise substantial doubt about its ability to continue as a going concern. Management’s evaluation of the events and conditions, and management’s plans regarding those matters, are also described in Note 1.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Grassi &amp; CO., CPAs,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2023, except for Notes 9, 10, 11, 14, and 19, as to which the date is June 13, 2023.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credits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Operating lease right-of-use asset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patent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5060"/>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ind w:right="5060"/>
        <w:spacing w:after="0"/>
        <w:rPr>
          <w:sz w:val="20"/>
          <w:szCs w:val="20"/>
          <w:color w:val="auto"/>
        </w:rPr>
      </w:pPr>
      <w:r>
        <w:rPr>
          <w:rFonts w:ascii="Arial" w:cs="Arial" w:eastAsia="Arial" w:hAnsi="Arial"/>
          <w:sz w:val="15"/>
          <w:szCs w:val="15"/>
          <w:color w:val="auto"/>
        </w:rPr>
        <w:t>Balance Sheets</w:t>
      </w:r>
    </w:p>
    <w:p>
      <w:pPr>
        <w:spacing w:after="0" w:line="25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278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630"/>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3,492,656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8,044,262</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182,820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160,867</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69,666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173,311</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13,722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216,886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160,133</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110,289</w:t>
            </w:r>
          </w:p>
        </w:tc>
      </w:tr>
      <w:tr>
        <w:trPr>
          <w:trHeight w:val="234"/>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4,135,883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8,488,729</w:t>
            </w:r>
          </w:p>
        </w:tc>
      </w:tr>
      <w:tr>
        <w:trPr>
          <w:trHeight w:val="414"/>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846,958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946,681</w:t>
            </w:r>
          </w:p>
        </w:tc>
      </w:tr>
      <w:tr>
        <w:trPr>
          <w:trHeight w:val="63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47,507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48,201</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1,116,697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219,567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97,693</w:t>
            </w:r>
          </w:p>
        </w:tc>
      </w:tr>
      <w:tr>
        <w:trPr>
          <w:trHeight w:val="241"/>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800,831</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620,029</w:t>
            </w:r>
          </w:p>
        </w:tc>
      </w:tr>
      <w:tr>
        <w:trPr>
          <w:trHeight w:val="223"/>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2,184,602</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765,923</w:t>
            </w:r>
          </w:p>
        </w:tc>
      </w:tr>
      <w:tr>
        <w:trPr>
          <w:trHeight w:val="459"/>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7,167,443</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10,201,333</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-2862580</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-2579370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-2305050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-2030730</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-1739265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-1456690</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-1182370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-908050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-633730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-325120</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60" w:space="720"/>
            <w:col w:w="6160"/>
          </w:cols>
          <w:pgMar w:left="320" w:top="66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7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784,687</w:t>
            </w:r>
          </w:p>
        </w:tc>
        <w:tc>
          <w:tcPr>
            <w:tcW w:w="1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liability</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287,384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993,961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Contract liabilities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156,000</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2,222,032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liability</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840,896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70,283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notes payable, net</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6,600,000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9,733,211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2,272,710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Series A convertible preferred stock; $0.0001 par value; 205,385 shares authorized at December 31,</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2022 and 2021; 205,385 shares issued and outstanding at December 31, 2022 and 2021; liquidation</w:t>
            </w: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3,272,944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$3,337,506 as of December 31, 2022 and 2021</w:t>
            </w:r>
          </w:p>
        </w:tc>
        <w:tc>
          <w:tcPr>
            <w:tcW w:w="3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3,272,944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180"/>
              <w:spacing w:after="0" w:line="201" w:lineRule="exact"/>
              <w:rPr>
                <w:sz w:val="20"/>
                <w:szCs w:val="20"/>
                <w:color w:val="auto"/>
              </w:rPr>
            </w:pPr>
            <w:r>
              <w:rPr>
                <w:rFonts w:ascii="Arial" w:cs="Arial" w:eastAsia="Arial" w:hAnsi="Arial"/>
                <w:sz w:val="18"/>
                <w:szCs w:val="18"/>
                <w:color w:val="auto"/>
                <w:w w:val="93"/>
              </w:rPr>
              <w:t>Series A-1 convertible preferred stock; $0.0001 par value; 380,657 shares authorized at December 31,</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w w:val="95"/>
              </w:rPr>
              <w:t>2022 and 2021; 380,657 shares issued and outstanding at December 31, 2022 and 2021; liquidation</w:t>
            </w: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14,100,533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value of $14,274,638 as of December 31, 2022 and 2021</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14,100,533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Series B convertible preferred stock; $0.0001 par value; 851,108 and 392,000 shares authorized at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2022 and 2021, respectively; 391,303 shares issued and outstanding at December 31,</w:t>
            </w:r>
          </w:p>
        </w:tc>
        <w:tc>
          <w:tcPr>
            <w:tcW w:w="3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16,321,065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and 2021; liquidation value of $17,000,159 as of December 31, 2022 and 2021</w:t>
            </w:r>
          </w:p>
        </w:tc>
        <w:tc>
          <w:tcPr>
            <w:tcW w:w="3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16,321,065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$0.0001 par value; 100,000,000 authorized at December 31, 2022 and 2021,</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w w:val="93"/>
              </w:rPr>
              <w:t>respectively; 1,043,991 and 1,043,103 shares issued and outstanding at December 31, 2022 and 2021,</w:t>
            </w: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1,054,138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(37,314,552)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(26,634,186)</w:t>
            </w: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(36,260,310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(25,765,919</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7,167,443</w:t>
            </w:r>
          </w:p>
        </w:tc>
        <w:tc>
          <w:tcPr>
            <w:tcW w:w="1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10,201,333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6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F-2</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 - related party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Employee retention credit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Forgiveness of Payroll Protection Program loan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convertible note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 loss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br w:type="column"/>
      </w:r>
    </w:p>
    <w:p>
      <w:pPr>
        <w:jc w:val="center"/>
        <w:ind w:right="4700"/>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Statements of Operations</w:t>
      </w: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314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1"/>
                <w:szCs w:val="21"/>
                <w:color w:val="auto"/>
              </w:rPr>
            </w:pP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284,000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4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284,000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110,000</w:t>
            </w:r>
          </w:p>
        </w:tc>
        <w:tc>
          <w:tcPr>
            <w:tcW w:w="40" w:type="dxa"/>
            <w:vAlign w:val="bottom"/>
          </w:tcPr>
          <w:p>
            <w:pPr>
              <w:spacing w:after="0"/>
              <w:rPr>
                <w:sz w:val="20"/>
                <w:szCs w:val="20"/>
                <w:color w:val="auto"/>
              </w:rPr>
            </w:pPr>
          </w:p>
        </w:tc>
      </w:tr>
      <w:tr>
        <w:trPr>
          <w:trHeight w:val="625"/>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3,639,666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3,951,352</w:t>
            </w:r>
          </w:p>
        </w:tc>
        <w:tc>
          <w:tcPr>
            <w:tcW w:w="40" w:type="dxa"/>
            <w:vAlign w:val="bottom"/>
          </w:tcPr>
          <w:p>
            <w:pPr>
              <w:spacing w:after="0"/>
              <w:rPr>
                <w:sz w:val="24"/>
                <w:szCs w:val="24"/>
                <w:color w:val="auto"/>
              </w:rPr>
            </w:pPr>
          </w:p>
        </w:tc>
      </w:tr>
      <w:tr>
        <w:trPr>
          <w:trHeight w:val="241"/>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6,097,938</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5,380,102</w:t>
            </w:r>
          </w:p>
        </w:tc>
        <w:tc>
          <w:tcPr>
            <w:tcW w:w="40" w:type="dxa"/>
            <w:vAlign w:val="bottom"/>
          </w:tcPr>
          <w:p>
            <w:pPr>
              <w:spacing w:after="0"/>
              <w:rPr>
                <w:sz w:val="20"/>
                <w:szCs w:val="20"/>
                <w:color w:val="auto"/>
              </w:rPr>
            </w:pPr>
          </w:p>
        </w:tc>
      </w:tr>
      <w:tr>
        <w:trPr>
          <w:trHeight w:val="223"/>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9,737,604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9,331,454</w:t>
            </w:r>
          </w:p>
        </w:tc>
        <w:tc>
          <w:tcPr>
            <w:tcW w:w="40" w:type="dxa"/>
            <w:vAlign w:val="bottom"/>
          </w:tcPr>
          <w:p>
            <w:pPr>
              <w:spacing w:after="0"/>
              <w:rPr>
                <w:sz w:val="19"/>
                <w:szCs w:val="19"/>
                <w:color w:val="auto"/>
              </w:rPr>
            </w:pPr>
          </w:p>
        </w:tc>
      </w:tr>
      <w:tr>
        <w:trPr>
          <w:trHeight w:val="432"/>
        </w:trPr>
        <w:tc>
          <w:tcPr>
            <w:tcW w:w="34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(9,453,604)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(9,221,454)</w:t>
            </w:r>
          </w:p>
        </w:tc>
      </w:tr>
      <w:tr>
        <w:trPr>
          <w:trHeight w:val="63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8,759</w:t>
            </w:r>
          </w:p>
        </w:tc>
        <w:tc>
          <w:tcPr>
            <w:tcW w:w="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(251,891)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(66,968)</w:t>
            </w: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65,849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112,141</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229,813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232,506</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(1,250,000)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55"/>
        </w:trPr>
        <w:tc>
          <w:tcPr>
            <w:tcW w:w="340" w:type="dxa"/>
            <w:vAlign w:val="bottom"/>
          </w:tcPr>
          <w:p>
            <w:pPr>
              <w:spacing w:after="0"/>
              <w:rPr>
                <w:sz w:val="22"/>
                <w:szCs w:val="22"/>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(25,351)</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(4,659)</w:t>
            </w:r>
          </w:p>
        </w:tc>
      </w:tr>
      <w:tr>
        <w:trPr>
          <w:trHeight w:val="216"/>
        </w:trPr>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(1,226,762</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281,779</w:t>
            </w:r>
          </w:p>
        </w:tc>
        <w:tc>
          <w:tcPr>
            <w:tcW w:w="40" w:type="dxa"/>
            <w:vAlign w:val="bottom"/>
          </w:tcPr>
          <w:p>
            <w:pPr>
              <w:spacing w:after="0"/>
              <w:rPr>
                <w:sz w:val="18"/>
                <w:szCs w:val="18"/>
                <w:color w:val="auto"/>
              </w:rPr>
            </w:pPr>
          </w:p>
        </w:tc>
      </w:tr>
      <w:tr>
        <w:trPr>
          <w:trHeight w:val="27"/>
        </w:trPr>
        <w:tc>
          <w:tcPr>
            <w:tcW w:w="340" w:type="dxa"/>
            <w:vAlign w:val="bottom"/>
            <w:shd w:val="clear" w:color="auto" w:fill="000000"/>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2"/>
        </w:trPr>
        <w:tc>
          <w:tcPr>
            <w:tcW w:w="34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(10,680,366)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(8,939,675)</w:t>
            </w:r>
          </w:p>
        </w:tc>
      </w:tr>
      <w:tr>
        <w:trPr>
          <w:trHeight w:val="452"/>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-3291205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-2990850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-2717165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-2425065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-2125345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-1851025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-1576705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-1302385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-1028065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-736600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-436880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-162560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720"/>
            <w:col w:w="6520"/>
          </w:cols>
          <w:pgMar w:left="320" w:top="665"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(10,680,366)</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(8,939,675)</w:t>
            </w:r>
          </w:p>
        </w:tc>
      </w:tr>
      <w:tr>
        <w:trPr>
          <w:trHeight w:val="236"/>
        </w:trPr>
        <w:tc>
          <w:tcPr>
            <w:tcW w:w="504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2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(2,768,984)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(2,768,984)</w:t>
            </w:r>
          </w:p>
        </w:tc>
      </w:tr>
      <w:tr>
        <w:trPr>
          <w:trHeight w:val="23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(13,449,350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(11,708,659</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5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(12.74)</w:t>
            </w:r>
          </w:p>
        </w:tc>
        <w:tc>
          <w:tcPr>
            <w:tcW w:w="5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(11.20)</w:t>
            </w:r>
          </w:p>
        </w:tc>
      </w:tr>
      <w:tr>
        <w:trPr>
          <w:trHeight w:val="216"/>
        </w:trPr>
        <w:tc>
          <w:tcPr>
            <w:tcW w:w="50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stock outstanding, basic and diluted</w:t>
            </w:r>
          </w:p>
        </w:tc>
        <w:tc>
          <w:tcPr>
            <w:tcW w:w="2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1,055,457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1,045,766</w:t>
            </w:r>
          </w:p>
        </w:tc>
        <w:tc>
          <w:tcPr>
            <w:tcW w:w="100" w:type="dxa"/>
            <w:vAlign w:val="bottom"/>
            <w:shd w:val="clear" w:color="auto" w:fill="CCEEFF"/>
          </w:tcPr>
          <w:p>
            <w:pPr>
              <w:spacing w:after="0"/>
              <w:rPr>
                <w:sz w:val="18"/>
                <w:szCs w:val="18"/>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2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color w:val="auto"/>
              </w:rPr>
              <w:t>F-3</w:t>
            </w: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380" w:type="dxa"/>
            <w:vAlign w:val="bottom"/>
          </w:tcPr>
          <w:p>
            <w:pPr>
              <w:spacing w:after="0" w:line="20" w:lineRule="exact"/>
              <w:rPr>
                <w:sz w:val="1"/>
                <w:szCs w:val="1"/>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Series A Convertible</w:t>
            </w: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2"/>
              </w:rPr>
              <w:t>Series A-1 Convertible</w:t>
            </w:r>
          </w:p>
        </w:tc>
        <w:tc>
          <w:tcPr>
            <w:tcW w:w="140" w:type="dxa"/>
            <w:vAlign w:val="bottom"/>
          </w:tcPr>
          <w:p>
            <w:pPr>
              <w:spacing w:after="0" w:line="20" w:lineRule="exact"/>
              <w:rPr>
                <w:sz w:val="1"/>
                <w:szCs w:val="1"/>
                <w:color w:val="auto"/>
              </w:rPr>
            </w:pPr>
          </w:p>
        </w:tc>
        <w:tc>
          <w:tcPr>
            <w:tcW w:w="150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6"/>
              </w:rPr>
              <w:t>Series B Convertible</w:t>
            </w:r>
          </w:p>
        </w:tc>
        <w:tc>
          <w:tcPr>
            <w:tcW w:w="80" w:type="dxa"/>
            <w:vAlign w:val="bottom"/>
          </w:tcPr>
          <w:p>
            <w:pPr>
              <w:spacing w:after="0" w:line="20" w:lineRule="exact"/>
              <w:rPr>
                <w:sz w:val="1"/>
                <w:szCs w:val="1"/>
                <w:color w:val="auto"/>
              </w:rPr>
            </w:pPr>
          </w:p>
        </w:tc>
        <w:tc>
          <w:tcPr>
            <w:tcW w:w="132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line="20" w:lineRule="exact"/>
              <w:rPr>
                <w:sz w:val="1"/>
                <w:szCs w:val="1"/>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55"/>
        </w:trPr>
        <w:tc>
          <w:tcPr>
            <w:tcW w:w="2380" w:type="dxa"/>
            <w:vAlign w:val="bottom"/>
          </w:tcPr>
          <w:p>
            <w:pPr>
              <w:spacing w:after="0"/>
              <w:rPr>
                <w:sz w:val="13"/>
                <w:szCs w:val="13"/>
                <w:color w:val="auto"/>
              </w:rPr>
            </w:pPr>
          </w:p>
        </w:tc>
        <w:tc>
          <w:tcPr>
            <w:tcW w:w="1500" w:type="dxa"/>
            <w:vAlign w:val="bottom"/>
            <w:gridSpan w:val="4"/>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360" w:type="dxa"/>
            <w:vAlign w:val="bottom"/>
            <w:tcBorders>
              <w:top w:val="single" w:sz="8" w:color="auto"/>
              <w:bottom w:val="single" w:sz="8" w:color="auto"/>
            </w:tcBorders>
            <w:gridSpan w:val="3"/>
          </w:tcPr>
          <w:p>
            <w:pPr>
              <w:jc w:val="right"/>
              <w:ind w:right="128"/>
              <w:spacing w:after="0" w:line="149" w:lineRule="exact"/>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3"/>
                <w:szCs w:val="13"/>
                <w:color w:val="auto"/>
              </w:rPr>
            </w:pPr>
          </w:p>
        </w:tc>
        <w:tc>
          <w:tcPr>
            <w:tcW w:w="1440" w:type="dxa"/>
            <w:vAlign w:val="bottom"/>
            <w:tcBorders>
              <w:top w:val="single" w:sz="8" w:color="auto"/>
              <w:bottom w:val="single" w:sz="8" w:color="auto"/>
            </w:tcBorders>
            <w:gridSpan w:val="3"/>
          </w:tcPr>
          <w:p>
            <w:pPr>
              <w:jc w:val="right"/>
              <w:ind w:right="168"/>
              <w:spacing w:after="0" w:line="149" w:lineRule="exact"/>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3"/>
                <w:szCs w:val="13"/>
                <w:color w:val="auto"/>
              </w:rPr>
            </w:pPr>
          </w:p>
        </w:tc>
        <w:tc>
          <w:tcPr>
            <w:tcW w:w="1500" w:type="dxa"/>
            <w:vAlign w:val="bottom"/>
            <w:tcBorders>
              <w:top w:val="single" w:sz="8" w:color="auto"/>
              <w:bottom w:val="single" w:sz="8" w:color="auto"/>
            </w:tcBorders>
            <w:gridSpan w:val="3"/>
          </w:tcPr>
          <w:p>
            <w:pPr>
              <w:jc w:val="right"/>
              <w:ind w:right="228"/>
              <w:spacing w:after="0" w:line="149" w:lineRule="exact"/>
              <w:rPr>
                <w:sz w:val="20"/>
                <w:szCs w:val="20"/>
                <w:color w:val="auto"/>
              </w:rPr>
            </w:pPr>
            <w:r>
              <w:rPr>
                <w:rFonts w:ascii="Arial" w:cs="Arial" w:eastAsia="Arial" w:hAnsi="Arial"/>
                <w:sz w:val="14"/>
                <w:szCs w:val="14"/>
                <w:b w:val="1"/>
                <w:bCs w:val="1"/>
                <w:color w:val="auto"/>
              </w:rPr>
              <w:t>Preferred Stock</w:t>
            </w:r>
          </w:p>
        </w:tc>
        <w:tc>
          <w:tcPr>
            <w:tcW w:w="80" w:type="dxa"/>
            <w:vAlign w:val="bottom"/>
            <w:tcBorders>
              <w:left w:val="single" w:sz="8" w:color="auto"/>
            </w:tcBorders>
          </w:tcPr>
          <w:p>
            <w:pPr>
              <w:spacing w:after="0"/>
              <w:rPr>
                <w:sz w:val="13"/>
                <w:szCs w:val="13"/>
                <w:color w:val="auto"/>
              </w:rPr>
            </w:pPr>
          </w:p>
        </w:tc>
        <w:tc>
          <w:tcPr>
            <w:tcW w:w="132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3"/>
                <w:szCs w:val="13"/>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left w:val="single" w:sz="8" w:color="auto"/>
            </w:tcBorders>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2020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205,385</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$ 3,272,944</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380,657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$ 14,100,533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391,303</w:t>
            </w:r>
          </w:p>
        </w:tc>
        <w:tc>
          <w:tcPr>
            <w:tcW w:w="96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$ 16,321,065</w:t>
            </w:r>
          </w:p>
        </w:tc>
        <w:tc>
          <w:tcPr>
            <w:tcW w:w="74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1,025,353</w:t>
            </w:r>
          </w:p>
        </w:tc>
        <w:tc>
          <w:tcPr>
            <w:tcW w:w="3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553,534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5"/>
              </w:rPr>
              <w:t>(17,694,511)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(17,140,774)</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left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306,055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306,055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20"/>
                <w:szCs w:val="20"/>
                <w:color w:val="auto"/>
              </w:rPr>
            </w:pPr>
            <w:r>
              <w:rPr>
                <w:rFonts w:ascii="Arial" w:cs="Arial" w:eastAsia="Arial" w:hAnsi="Arial"/>
                <w:sz w:val="14"/>
                <w:szCs w:val="14"/>
                <w:color w:val="auto"/>
              </w:rPr>
              <w:t>Net loss</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(8,939,675)</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(8,939,675)</w:t>
            </w:r>
          </w:p>
        </w:tc>
        <w:tc>
          <w:tcPr>
            <w:tcW w:w="0" w:type="dxa"/>
            <w:vAlign w:val="bottom"/>
          </w:tcPr>
          <w:p>
            <w:pPr>
              <w:spacing w:after="0"/>
              <w:rPr>
                <w:sz w:val="1"/>
                <w:szCs w:val="1"/>
                <w:color w:val="auto"/>
              </w:rPr>
            </w:pPr>
          </w:p>
        </w:tc>
      </w:tr>
      <w:tr>
        <w:trPr>
          <w:trHeight w:val="149"/>
        </w:trPr>
        <w:tc>
          <w:tcPr>
            <w:tcW w:w="23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2021</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205,385</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3,272,944</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380,657</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14,100,533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391,303</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99"/>
              </w:rPr>
              <w:t>16,321,065</w:t>
            </w:r>
          </w:p>
        </w:tc>
        <w:tc>
          <w:tcPr>
            <w:tcW w:w="80" w:type="dxa"/>
            <w:vAlign w:val="bottom"/>
            <w:tcBorders>
              <w:top w:val="single" w:sz="8" w:color="CCEEFF"/>
              <w:left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1,043,103</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868,163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(26,634,186)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0"/>
              </w:rPr>
              <w:t>(25,765,919)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left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184,465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184,465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20"/>
                <w:szCs w:val="20"/>
                <w:color w:val="auto"/>
              </w:rPr>
            </w:pPr>
            <w:r>
              <w:rPr>
                <w:rFonts w:ascii="Arial" w:cs="Arial" w:eastAsia="Arial" w:hAnsi="Arial"/>
                <w:sz w:val="14"/>
                <w:szCs w:val="14"/>
                <w:color w:val="auto"/>
              </w:rPr>
              <w:t>Net loss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lef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5"/>
              </w:rPr>
              <w:t>(10,680,366)</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(10,680,366)</w:t>
            </w:r>
          </w:p>
        </w:tc>
        <w:tc>
          <w:tcPr>
            <w:tcW w:w="0" w:type="dxa"/>
            <w:vAlign w:val="bottom"/>
          </w:tcPr>
          <w:p>
            <w:pPr>
              <w:spacing w:after="0"/>
              <w:rPr>
                <w:sz w:val="1"/>
                <w:szCs w:val="1"/>
                <w:color w:val="auto"/>
              </w:rPr>
            </w:pPr>
          </w:p>
        </w:tc>
      </w:tr>
      <w:tr>
        <w:trPr>
          <w:trHeight w:val="162"/>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205,385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xml:space="preserve"> 3,272,944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380,657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xml:space="preserve"> 14,100,533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391,303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 xml:space="preserve"> 16,321,065</w:t>
            </w:r>
          </w:p>
        </w:tc>
        <w:tc>
          <w:tcPr>
            <w:tcW w:w="80" w:type="dxa"/>
            <w:vAlign w:val="bottom"/>
            <w:tcBorders>
              <w:top w:val="single" w:sz="8" w:color="CCEEFF"/>
              <w:left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1,043,991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1,054,138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(37,314,552</w:t>
            </w:r>
          </w:p>
        </w:tc>
        <w:tc>
          <w:tcPr>
            <w:tcW w:w="160" w:type="dxa"/>
            <w:vAlign w:val="bottom"/>
            <w:tcBorders>
              <w:top w:val="single" w:sz="8" w:color="CCEEFF"/>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(36,260,310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4"/>
          </w:tcPr>
          <w:p>
            <w:pPr>
              <w:jc w:val="right"/>
              <w:ind w:right="67"/>
              <w:spacing w:after="0"/>
              <w:rPr>
                <w:sz w:val="20"/>
                <w:szCs w:val="20"/>
                <w:color w:val="auto"/>
              </w:rPr>
            </w:pPr>
            <w:r>
              <w:rPr>
                <w:rFonts w:ascii="Arial" w:cs="Arial" w:eastAsia="Arial" w:hAnsi="Arial"/>
                <w:sz w:val="18"/>
                <w:szCs w:val="18"/>
                <w:b w:val="1"/>
                <w:bCs w:val="1"/>
                <w:color w:val="auto"/>
              </w:rPr>
              <w:t>Years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7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(10,680,366)</w:t>
            </w:r>
          </w:p>
        </w:tc>
        <w:tc>
          <w:tcPr>
            <w:tcW w:w="6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(8,939,675)</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and cash equivalents used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125,885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84,772</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280,092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on convertible notes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164,611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184,465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306,055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Forgiveness of Payroll Protection Program loan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(230,685)</w:t>
            </w: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(21,953)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(37,573)</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(49,844)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(919)</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231,745</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(15,024)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420,752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282,976</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(268,509)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(8,831)</w:t>
            </w:r>
          </w:p>
        </w:tc>
      </w:tr>
      <w:tr>
        <w:trPr>
          <w:trHeight w:val="236"/>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141,000</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used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(8,349,469)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(8,067,359)</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(33,101)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(446,136)</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Capitalization of deferred patent costs</w:t>
            </w: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(180,802)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(196,267)</w:t>
            </w: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license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(65,510)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Pr>
          <w:p>
            <w:pPr>
              <w:ind w:left="360"/>
              <w:spacing w:after="0"/>
              <w:rPr>
                <w:sz w:val="20"/>
                <w:szCs w:val="20"/>
                <w:color w:val="auto"/>
              </w:rPr>
            </w:pPr>
            <w:r>
              <w:rPr>
                <w:rFonts w:ascii="Arial" w:cs="Arial" w:eastAsia="Arial" w:hAnsi="Arial"/>
                <w:sz w:val="18"/>
                <w:szCs w:val="18"/>
                <w:color w:val="auto"/>
              </w:rPr>
              <w:t>Capitalization of patent and trademark costs</w:t>
            </w: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(61,598)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(9,872)</w:t>
            </w:r>
          </w:p>
        </w:tc>
      </w:tr>
      <w:tr>
        <w:trPr>
          <w:trHeight w:val="216"/>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and cash equivalents used by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(336,761)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Proceeds from convertible notes, net of issuance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4,350,000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984,387</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deferred offering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(216,886)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100" w:type="dxa"/>
            <w:vAlign w:val="bottom"/>
            <w:tcBorders>
              <w:bottom w:val="single" w:sz="8" w:color="CCEEFF"/>
            </w:tcBorders>
          </w:tcPr>
          <w:p>
            <w:pPr>
              <w:spacing w:after="0"/>
              <w:rPr>
                <w:sz w:val="20"/>
                <w:szCs w:val="20"/>
                <w:color w:val="auto"/>
              </w:rPr>
            </w:pPr>
          </w:p>
        </w:tc>
      </w:tr>
      <w:tr>
        <w:trPr>
          <w:trHeight w:val="223"/>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and cash equivalents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4,134,624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(4,551,606)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(7,726,772)</w:t>
            </w: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8,044,262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15,771,034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7860" w:type="dxa"/>
            <w:vAlign w:val="bottom"/>
          </w:tcPr>
          <w:p>
            <w:pPr>
              <w:spacing w:after="0"/>
              <w:rPr>
                <w:sz w:val="20"/>
                <w:szCs w:val="20"/>
                <w:color w:val="auto"/>
              </w:rPr>
            </w:pPr>
            <w:r>
              <w:rPr>
                <w:rFonts w:ascii="Arial" w:cs="Arial" w:eastAsia="Arial" w:hAnsi="Arial"/>
                <w:sz w:val="18"/>
                <w:szCs w:val="18"/>
                <w:color w:val="auto"/>
              </w:rPr>
              <w:t>Cash and cash equivalents at the end of the year</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3,492,656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8,044,262</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2022 and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Azitra, Inc. was founded on January 2, 2014. It is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maintains a location in Montreal, Canada for certain research activities. This location and operations completed there remained consistent throughout 2021 and 2022. The Company also opened a manufacturing and laboratory space in Groton, Connecticut during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Matters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year ended December 31, 2022, the Company has an accumulated deficit of $37.3 million, a loss from operations of $9.5 million and used $8.6 million to fund operations. These factors among others raise substantial doubt about the Company’s ability to continue as a going concern.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plans to continue to raise funds through equity and debt financing to fund operating and working capital needs, however, the Company will require a significant amount of additional funds to complete the development of its product and to fund additional losses which the Company expects to incur over the next few years. The Company is in an early clinical phase and therefore does not yet have product revenue. In 2022, the Company issued convertible notes resulting in net cash proceeds of $4.4 million (see Note 7). There can be no assurance that the Company will be successful in securing additional financing, if needed, to meet its operating needs.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and events create an uncertainty about the ability of the Company to continue as a going concern through February 20, 2024 (one year after the date that the financial statements are available to be issued). The financial statements do not include any adjustments that might be necessary should the Company be unable to continue as a going concern.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7680" w:firstLine="8"/>
        <w:spacing w:after="0" w:line="503" w:lineRule="auto"/>
        <w:tabs>
          <w:tab w:leader="none" w:pos="1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Accounting</w:t>
      </w:r>
    </w:p>
    <w:p>
      <w:pPr>
        <w:spacing w:after="0"/>
        <w:rPr>
          <w:sz w:val="20"/>
          <w:szCs w:val="20"/>
          <w:color w:val="auto"/>
        </w:rPr>
      </w:pPr>
      <w:r>
        <w:rPr>
          <w:rFonts w:ascii="Arial" w:cs="Arial" w:eastAsia="Arial" w:hAnsi="Arial"/>
          <w:sz w:val="18"/>
          <w:szCs w:val="18"/>
          <w:color w:val="auto"/>
        </w:rPr>
        <w:t>The financial statements of the Company are prepared in accordance with United States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financial statement in conformity with accounting principles generally accepted in the United States of America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the balance sheets and statements of cash flows, the Company considers all cash on hand, demand deposits and all highly liquid investments with original maturities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conditions. There was no allowance for doubtful accounts at December 31, 2022 or 2021. Accounts receivable are written off when deemed uncollectible. Recoveries of accounts receivable previously written off are recorded when received.</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capitalizes deferred offering costs, which primarily consist of direct, incremental legal, professional, accounting, and other third-party fees relating to the Company’s initial public offering. The deferred offering costs will be offset against IPO proceeds upon the consummation of an offering. Should the planned IPO prove to be unsuccessful, these deferred costs, as well as additional expenses to be incurred, will be charged to operations.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Property and equipment are recorded at cost. Depreciation is computed using the straight-line method over the estimated useful lives, which range from 3 to 10 years. Expenditures for maintenance and repairs, which do not extend the economic useful life of the related assets, are charged to operations as incurred. Gains or losses on disposal of property and equipment are reflected in the statements of operations in the period of disposal.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03" w:lineRule="auto"/>
        <w:tabs>
          <w:tab w:leader="none" w:pos="1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Right of Use Assets</w:t>
      </w:r>
    </w:p>
    <w:p>
      <w:pPr>
        <w:jc w:val="both"/>
        <w:spacing w:after="0" w:line="263" w:lineRule="auto"/>
        <w:rPr>
          <w:sz w:val="20"/>
          <w:szCs w:val="20"/>
          <w:color w:val="auto"/>
        </w:rPr>
      </w:pPr>
      <w:r>
        <w:rPr>
          <w:rFonts w:ascii="Arial" w:cs="Arial" w:eastAsia="Arial" w:hAnsi="Arial"/>
          <w:sz w:val="18"/>
          <w:szCs w:val="18"/>
          <w:color w:val="auto"/>
        </w:rPr>
        <w:t>In February 2016, the Financial Accounting Standards Board (“FASB”) issued ASU No. 2016-02, Leases (“Topic 842”). ASU 2016-02 requires lessees to present right-of-use (“ROU”) assets and lease liabilities on the balance sheet for all leases with terms longer than 12 months. See Note 2 – Recently Adopted Accounting Pronouncements.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calculating the effect of ASU 2016-02, the Company elected the transition method thereby not restating comparable periods. 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operating leases for buildings. Currently, the Company has 3 operating leases with a ROU asset and lease liability totaling $1,418,502 as of January 1, 2022.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the Company had operating right-of-use assets with a net value of $1,116,697 and current and long-term operating lease liabilities of $287,384 and $840,896,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other indefinite life intangible assets in accordance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 No impairment losses relating to intangible assets were recorded in 2022 or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03" w:lineRule="auto"/>
        <w:tabs>
          <w:tab w:leader="none" w:pos="1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Deferred Patent Costs</w:t>
      </w:r>
    </w:p>
    <w:p>
      <w:pPr>
        <w:jc w:val="both"/>
        <w:spacing w:after="0" w:line="259" w:lineRule="auto"/>
        <w:rPr>
          <w:sz w:val="20"/>
          <w:szCs w:val="20"/>
          <w:color w:val="auto"/>
        </w:rPr>
      </w:pPr>
      <w:r>
        <w:rPr>
          <w:rFonts w:ascii="Arial" w:cs="Arial" w:eastAsia="Arial" w:hAnsi="Arial"/>
          <w:sz w:val="18"/>
          <w:szCs w:val="18"/>
          <w:color w:val="auto"/>
        </w:rPr>
        <w:t>Deferred patent costs represent legal and filing expenses incurred related to the submission of patent applications for patents pending approval. These deferred costs will begin to be amortized over their estimated useful lives upon the formal approval of the patent. If the patent is not approved, the costs associated with the patent will be expensed in the year the patent was rejected. No impairment losses relating to deferred patent costs were recorded in the years ended December 31,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accordance with ASC Topic 360-10,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Warrant Accounting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66" w:lineRule="auto"/>
        <w:tabs>
          <w:tab w:leader="none" w:pos="18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Convertible Debt and Warrant Accounting (continued)</w:t>
      </w:r>
    </w:p>
    <w:p>
      <w:pPr>
        <w:spacing w:after="0"/>
        <w:rPr>
          <w:sz w:val="20"/>
          <w:szCs w:val="20"/>
          <w:color w:val="auto"/>
        </w:rPr>
      </w:pPr>
      <w:r>
        <w:rPr>
          <w:rFonts w:ascii="Arial" w:cs="Arial" w:eastAsia="Arial" w:hAnsi="Arial"/>
          <w:sz w:val="18"/>
          <w:szCs w:val="18"/>
          <w:i w:val="1"/>
          <w:iCs w:val="1"/>
          <w:color w:val="auto"/>
        </w:rPr>
        <w:t>Warrants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When the Company issues debt with a conversion feature, it first assesses whether the conversion feature meets the requirements to be accounted for as stock settled debt. If it does not meet those requirements then it is assessed on whether the conversion feature should be bifurcated and treated as a derivative liability,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 An embedded equity-linked component that meets the definition of a derivative does not have to be separated from the host instrument if the component qualifies for the scope exception for certain contracts involving an issuer’s own equity. The scope exception applies if the contract is both a) indexed to its own stock; and b) classified in stockholders’ equity in its statement of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Convertible Preferred stockholders have liquidation rights in the event of a deemed liquidation event that, in certain situations, are not solely within the control of the Company and would require the redemption of the then-outstanding Convertible Preferred Stock, the Company classifies the Convertible Preferred Stock in mezzanine equity on the balance sheet. Due to the fact that the occurrence of a deemed liquidation event is not currently probable, the carrying value of the Convertible Preferred Stock is not being accreted to its redemption value. Subsequent adjustments to the carrying value of the Convertible Preferred Stock would be made only when a deemed liquidation event becomes probable.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03" w:lineRule="auto"/>
        <w:tabs>
          <w:tab w:leader="none" w:pos="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w:t>
      </w:r>
    </w:p>
    <w:p>
      <w:pPr>
        <w:spacing w:after="0" w:line="277" w:lineRule="auto"/>
        <w:rPr>
          <w:sz w:val="20"/>
          <w:szCs w:val="20"/>
          <w:color w:val="auto"/>
        </w:rPr>
      </w:pPr>
      <w:r>
        <w:rPr>
          <w:rFonts w:ascii="Arial" w:cs="Arial" w:eastAsia="Arial" w:hAnsi="Arial"/>
          <w:sz w:val="18"/>
          <w:szCs w:val="18"/>
          <w:color w:val="auto"/>
        </w:rPr>
        <w:t xml:space="preserve">The Company follows the five steps to recognize revenue from contracts with customers under ASC </w:t>
      </w:r>
      <w:r>
        <w:rPr>
          <w:rFonts w:ascii="Arial" w:cs="Arial" w:eastAsia="Arial" w:hAnsi="Arial"/>
          <w:sz w:val="18"/>
          <w:szCs w:val="18"/>
          <w:i w:val="1"/>
          <w:iCs w:val="1"/>
          <w:color w:val="auto"/>
        </w:rPr>
        <w:t>606,</w:t>
      </w:r>
      <w:r>
        <w:rPr>
          <w:rFonts w:ascii="Arial" w:cs="Arial" w:eastAsia="Arial" w:hAnsi="Arial"/>
          <w:sz w:val="18"/>
          <w:szCs w:val="18"/>
          <w:color w:val="auto"/>
        </w:rPr>
        <w:t xml:space="preserve"> Revenue from Contracts with Customers (“ASC </w:t>
      </w:r>
      <w:r>
        <w:rPr>
          <w:rFonts w:ascii="Arial" w:cs="Arial" w:eastAsia="Arial" w:hAnsi="Arial"/>
          <w:sz w:val="18"/>
          <w:szCs w:val="18"/>
          <w:i w:val="1"/>
          <w:iCs w:val="1"/>
          <w:color w:val="auto"/>
        </w:rPr>
        <w:t>606”</w:t>
      </w:r>
      <w:r>
        <w:rPr>
          <w:rFonts w:ascii="Arial" w:cs="Arial" w:eastAsia="Arial" w:hAnsi="Arial"/>
          <w:sz w:val="18"/>
          <w:szCs w:val="18"/>
          <w:color w:val="auto"/>
        </w:rPr>
        <w:t>), which are:</w:t>
      </w:r>
    </w:p>
    <w:p>
      <w:pPr>
        <w:spacing w:after="0" w:line="170"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1:</w:t>
      </w:r>
      <w:r>
        <w:rPr>
          <w:rFonts w:ascii="Arial" w:cs="Arial" w:eastAsia="Arial" w:hAnsi="Arial"/>
          <w:sz w:val="18"/>
          <w:szCs w:val="18"/>
          <w:color w:val="auto"/>
        </w:rPr>
        <w:t xml:space="preserve"> Identify the contract(s) with a customer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3:</w:t>
      </w:r>
      <w:r>
        <w:rPr>
          <w:rFonts w:ascii="Arial" w:cs="Arial" w:eastAsia="Arial" w:hAnsi="Arial"/>
          <w:sz w:val="18"/>
          <w:szCs w:val="18"/>
          <w:color w:val="auto"/>
        </w:rPr>
        <w:t xml:space="preserve"> Determine the transaction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4:</w:t>
      </w:r>
      <w:r>
        <w:rPr>
          <w:rFonts w:ascii="Arial" w:cs="Arial" w:eastAsia="Arial" w:hAnsi="Arial"/>
          <w:sz w:val="18"/>
          <w:szCs w:val="18"/>
          <w:color w:val="auto"/>
        </w:rPr>
        <w:t xml:space="preserve"> Allocate the transaction price to the performance obligations in the contract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Step 5: Recognize revenue when (or as) a performance obligation is satisfied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Amounts earned under these grant contracts are recorded as a negative research &amp; development expense when eligible expenses are incurred and the right to payment is realizable or realized and earn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03" w:lineRule="auto"/>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(continued)</w:t>
      </w:r>
    </w:p>
    <w:p>
      <w:pPr>
        <w:jc w:val="both"/>
        <w:spacing w:after="0" w:line="263" w:lineRule="auto"/>
        <w:rPr>
          <w:sz w:val="20"/>
          <w:szCs w:val="20"/>
          <w:color w:val="auto"/>
        </w:rPr>
      </w:pPr>
      <w:r>
        <w:rPr>
          <w:rFonts w:ascii="Arial" w:cs="Arial" w:eastAsia="Arial" w:hAnsi="Arial"/>
          <w:sz w:val="18"/>
          <w:szCs w:val="18"/>
          <w:color w:val="auto"/>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research and development costs in accordance with Accounting Standards Codification (ASC) subtopic 730-10,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r>
        <w:rPr>
          <w:rFonts w:ascii="Arial" w:cs="Arial" w:eastAsia="Arial" w:hAnsi="Arial"/>
          <w:sz w:val="18"/>
          <w:szCs w:val="18"/>
          <w:color w:val="auto"/>
        </w:rPr>
        <w:t>. Accordingly, internal research and development costs are expensed as incurred. Research and development costs consist of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labor, materials and supplies. Research and development costs incurred were $5,920,538 and $5,380,102 during the years ended 2022 and 2021, respectively.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2022 and 2021, the Company has a state tax credit receivable of $32,459 and $71,396, respectively, for pending refunds related to the selling of research and development tax credits back to the State of Connecticut. At December 31, 2022 and 2021, the Company has $28,925 and $89,855, respectively for pending refunds related to Canadian Scientific Research and Experimental Development credits. At December 31, 2022 and 2021, the Company has also recorded $8,282 and $12,060, respectively, related to refunds of Canadian Goods and Services Tax (GST) and Quebec Sales Tax (QST). Receipts of refunds are recorded in other income on the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stock-based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03" w:lineRule="auto"/>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 (continued)</w:t>
      </w:r>
    </w:p>
    <w:p>
      <w:pPr>
        <w:jc w:val="both"/>
        <w:spacing w:after="0" w:line="296" w:lineRule="auto"/>
        <w:rPr>
          <w:sz w:val="20"/>
          <w:szCs w:val="20"/>
          <w:color w:val="auto"/>
        </w:rPr>
      </w:pPr>
      <w:r>
        <w:rPr>
          <w:rFonts w:ascii="Arial" w:cs="Arial" w:eastAsia="Arial" w:hAnsi="Arial"/>
          <w:sz w:val="16"/>
          <w:szCs w:val="16"/>
          <w:color w:val="auto"/>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equity instruments issued to non-employees in accordance with the provisions of ASC 718 as updated by Accounting Standards Update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which expands the scope of ASC 718 to include share based payment transactions to non-employees.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are used in valuing options issued using the Black-Scholes option pricing model: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of the Company’s shares is estimated based on the Company’s external valuation.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options is estimated using the simplified method which is based on the vesting period and contractual term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grant, or for each vesting-tranche for awards with graded vesting.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Underlying Common Stock Value. </w:t>
      </w:r>
      <w:r>
        <w:rPr>
          <w:rFonts w:ascii="Arial" w:cs="Arial" w:eastAsia="Arial" w:hAnsi="Arial"/>
          <w:sz w:val="17"/>
          <w:szCs w:val="17"/>
          <w:color w:val="auto"/>
        </w:rPr>
        <w:t>The underlying common stock value of the Company’s shares is estimated by a third party valuation expert.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the implied yield available on a U.S. Treasury note with terms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underlying grant.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Black-Scholes valuation model calls for a single expected dividend yield as an input. The Company has not paid dividends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the past nor does it expect to pay dividends on Common stock in the near future. As such, the Company uses a dividend yield percentage of zero.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03" w:lineRule="auto"/>
        <w:tabs>
          <w:tab w:leader="none" w:pos="1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jc w:val="both"/>
        <w:spacing w:after="0" w:line="286" w:lineRule="auto"/>
        <w:rPr>
          <w:sz w:val="20"/>
          <w:szCs w:val="20"/>
          <w:color w:val="auto"/>
        </w:rPr>
      </w:pPr>
      <w:r>
        <w:rPr>
          <w:rFonts w:ascii="Arial" w:cs="Arial" w:eastAsia="Arial" w:hAnsi="Arial"/>
          <w:sz w:val="17"/>
          <w:szCs w:val="17"/>
          <w:color w:val="auto"/>
        </w:rPr>
        <w:t xml:space="preserve">The Company uses the liability method of accounting for income taxes, as set forth in ASC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(see Note 13).</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has evaluated the effect of ASC guidance related to uncertain income tax positions and concluded that the Company has no significant financial statement exposure to uncertain income tax positions at December 31, 2022 and 2021. The Company’s income tax returns have not been examined by tax authorities through December 31, 2022. The Company is not currently under audit by any tax jurisdiction.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carries certain liabilities at fair value on a recurring basis. A fair value hierarchy that consists of three levels is used to prioritize the inputs to fair value valuation techniques:</w:t>
      </w:r>
    </w:p>
    <w:p>
      <w:pPr>
        <w:spacing w:after="0" w:line="170"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 – Inputs are based upon observable or quoted prices for identical instruments traded in active markets.</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6760" w:firstLine="8"/>
        <w:spacing w:after="0" w:line="566" w:lineRule="auto"/>
        <w:tabs>
          <w:tab w:leader="none" w:pos="1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Recently Adopted Accounting Pronouncements</w:t>
      </w:r>
    </w:p>
    <w:p>
      <w:pPr>
        <w:jc w:val="both"/>
        <w:spacing w:after="0" w:line="311"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This ASU requires a lessee to recognize a right-of-use asset and a lease liability under most operating leases in its balance sheet. The ASU is effective for annual and interim periods beginning after December 15, 2021. The Company adopted ASU 2016-02 on January 1, 2022. See Note 15 – Operating Leases.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standard simplifies the accounting for income taxes through the removal of various exceptions previously provided, as well as providing additional reporting requirements for income taxes. The ASU is effective for the Company on January 1, 2022. The Company has adopted this standard effective January 1, 2022, which did not have a material impact to the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w:t>
      </w:r>
      <w:r>
        <w:rPr>
          <w:rFonts w:ascii="Arial" w:cs="Arial" w:eastAsia="Arial" w:hAnsi="Arial"/>
          <w:sz w:val="18"/>
          <w:szCs w:val="18"/>
          <w:color w:val="auto"/>
        </w:rPr>
        <w:t>, which simplifies the accounting for certain financial instruments with characteristics of liabilities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including convertible instruments and contracts on an entity’s own equity. This standard will be effective for the Company on January 1, 2024, with early adoption permitted (but no earlier than fiscal years beginning after December 15, 2020). The Company has adopted this standard effective January 1, 2021, which did not have a material impact to the financial statements.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instruments are primarily comprised of accounts receivable, accounts payable, accrued liabilities, and long-term debt. For accounts receivable, accounts payable and accrued liabilities, the carrying amount approximates fair value due to the short term maturities of such instruments. The estimated fair value of the Company’s long-term debt approximates carrying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Retention Credit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September 30, 2021. Based on these additional provisions, the tax credit is now equal to 70% of qualified wages paid to employees during a quarter, and the limit on qualified wages per employee has been increased to $10,000 of qualified wages per quarter. In April 2022, the Company determined it qualified for the tax credit under the CARES Act and recorded a receivable for $229,813 and recognized the amounts as other income on the statement of operations. The Company received full payment for the amount in September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w w:val="99"/>
              </w:rPr>
              <w:t>Property and equipment consisted of the following at December 31, 2022 and 2021: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2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1,034,579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1,016,737</w:t>
            </w:r>
          </w:p>
        </w:tc>
        <w:tc>
          <w:tcPr>
            <w:tcW w:w="8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30,825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30,825</w:t>
            </w: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24,316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24,316</w:t>
            </w:r>
          </w:p>
        </w:tc>
        <w:tc>
          <w:tcPr>
            <w:tcW w:w="8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28,855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28,855</w:t>
            </w:r>
          </w:p>
        </w:tc>
        <w:tc>
          <w:tcPr>
            <w:tcW w:w="80" w:type="dxa"/>
            <w:vAlign w:val="bottom"/>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 equipment</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14,932</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1,133,507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1,115,665</w:t>
            </w:r>
          </w:p>
        </w:tc>
        <w:tc>
          <w:tcPr>
            <w:tcW w:w="8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(286,549)</w:t>
            </w: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(168,984)</w:t>
            </w:r>
          </w:p>
        </w:tc>
      </w:tr>
      <w:tr>
        <w:trPr>
          <w:trHeight w:val="217"/>
        </w:trPr>
        <w:tc>
          <w:tcPr>
            <w:tcW w:w="1420" w:type="dxa"/>
            <w:vAlign w:val="bottom"/>
          </w:tcPr>
          <w:p>
            <w:pPr>
              <w:spacing w:after="0"/>
              <w:rPr>
                <w:sz w:val="18"/>
                <w:szCs w:val="18"/>
                <w:color w:val="auto"/>
              </w:rPr>
            </w:pPr>
          </w:p>
        </w:tc>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property and equipment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846,958</w:t>
            </w: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946,681</w:t>
            </w:r>
          </w:p>
        </w:tc>
        <w:tc>
          <w:tcPr>
            <w:tcW w:w="8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$120,651 and $81,866 for the years ended December 31, 2022 and 2021,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Gross Amount</w:t>
            </w:r>
          </w:p>
        </w:tc>
        <w:tc>
          <w:tcPr>
            <w:tcW w:w="220" w:type="dxa"/>
            <w:vAlign w:val="bottom"/>
          </w:tcPr>
          <w:p>
            <w:pPr>
              <w:spacing w:after="0"/>
              <w:rPr>
                <w:sz w:val="20"/>
                <w:szCs w:val="20"/>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Indefinite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53,999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Patents</w:t>
            </w:r>
          </w:p>
        </w:tc>
        <w:tc>
          <w:tcPr>
            <w:tcW w:w="2680" w:type="dxa"/>
            <w:vAlign w:val="bottom"/>
            <w:gridSpan w:val="2"/>
          </w:tcPr>
          <w:p>
            <w:pPr>
              <w:ind w:left="1120"/>
              <w:spacing w:after="0"/>
              <w:rPr>
                <w:sz w:val="20"/>
                <w:szCs w:val="20"/>
                <w:color w:val="auto"/>
              </w:rPr>
            </w:pPr>
            <w:r>
              <w:rPr>
                <w:rFonts w:ascii="Arial" w:cs="Arial" w:eastAsia="Arial" w:hAnsi="Arial"/>
                <w:sz w:val="18"/>
                <w:szCs w:val="18"/>
                <w:color w:val="auto"/>
              </w:rPr>
              <w:t>17 years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108,198</w:t>
            </w: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8,140</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100,058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License agreement</w:t>
            </w:r>
          </w:p>
        </w:tc>
        <w:tc>
          <w:tcPr>
            <w:tcW w:w="26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17 years</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65,510</w:t>
            </w: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1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227,707</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8,140</w:t>
            </w: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219,567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b w:val="1"/>
                <w:bCs w:val="1"/>
                <w:color w:val="auto"/>
              </w:rPr>
              <w:t>:</w:t>
            </w: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Gross Amount</w:t>
            </w:r>
          </w:p>
        </w:tc>
        <w:tc>
          <w:tcPr>
            <w:tcW w:w="220" w:type="dxa"/>
            <w:vAlign w:val="bottom"/>
          </w:tcPr>
          <w:p>
            <w:pPr>
              <w:spacing w:after="0"/>
              <w:rPr>
                <w:sz w:val="20"/>
                <w:szCs w:val="20"/>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Indefinite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8"/>
                <w:szCs w:val="18"/>
                <w:color w:val="auto"/>
              </w:rPr>
              <w:t>Patents</w:t>
            </w:r>
          </w:p>
        </w:tc>
        <w:tc>
          <w:tcPr>
            <w:tcW w:w="2680" w:type="dxa"/>
            <w:vAlign w:val="bottom"/>
            <w:gridSpan w:val="2"/>
          </w:tcPr>
          <w:p>
            <w:pPr>
              <w:ind w:left="1120"/>
              <w:spacing w:after="0"/>
              <w:rPr>
                <w:sz w:val="20"/>
                <w:szCs w:val="20"/>
                <w:color w:val="auto"/>
              </w:rPr>
            </w:pPr>
            <w:r>
              <w:rPr>
                <w:rFonts w:ascii="Arial" w:cs="Arial" w:eastAsia="Arial" w:hAnsi="Arial"/>
                <w:sz w:val="18"/>
                <w:szCs w:val="18"/>
                <w:color w:val="auto"/>
              </w:rPr>
              <w:t>17 years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49,644</w:t>
            </w:r>
          </w:p>
        </w:tc>
        <w:tc>
          <w:tcPr>
            <w:tcW w:w="2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2,906</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2022 and 2021, amortization expense related to intangible assets was $5,234 and $2,906,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amortization expense is as follows for the years ending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2024</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2,920</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2026</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2,920</w:t>
            </w:r>
          </w:p>
        </w:tc>
        <w:tc>
          <w:tcPr>
            <w:tcW w:w="33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380" w:type="dxa"/>
            <w:vAlign w:val="bottom"/>
          </w:tcPr>
          <w:p>
            <w:pPr>
              <w:spacing w:after="0"/>
              <w:rPr>
                <w:sz w:val="18"/>
                <w:szCs w:val="18"/>
                <w:color w:val="auto"/>
              </w:rPr>
            </w:pPr>
          </w:p>
        </w:tc>
      </w:tr>
      <w:tr>
        <w:trPr>
          <w:trHeight w:val="236"/>
        </w:trPr>
        <w:tc>
          <w:tcPr>
            <w:tcW w:w="338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Thereafter</w:t>
            </w:r>
          </w:p>
        </w:tc>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85,456</w:t>
            </w:r>
          </w:p>
        </w:tc>
        <w:tc>
          <w:tcPr>
            <w:tcW w:w="3380" w:type="dxa"/>
            <w:vAlign w:val="bottom"/>
          </w:tcPr>
          <w:p>
            <w:pPr>
              <w:spacing w:after="0"/>
              <w:rPr>
                <w:sz w:val="20"/>
                <w:szCs w:val="20"/>
                <w:color w:val="auto"/>
              </w:rPr>
            </w:pPr>
          </w:p>
        </w:tc>
      </w:tr>
      <w:tr>
        <w:trPr>
          <w:trHeight w:val="256"/>
        </w:trPr>
        <w:tc>
          <w:tcPr>
            <w:tcW w:w="3380" w:type="dxa"/>
            <w:vAlign w:val="bottom"/>
          </w:tcPr>
          <w:p>
            <w:pPr>
              <w:spacing w:after="0"/>
              <w:rPr>
                <w:sz w:val="22"/>
                <w:szCs w:val="22"/>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100,058</w:t>
            </w:r>
          </w:p>
        </w:tc>
        <w:tc>
          <w:tcPr>
            <w:tcW w:w="3380" w:type="dxa"/>
            <w:vAlign w:val="bottom"/>
          </w:tcPr>
          <w:p>
            <w:pPr>
              <w:spacing w:after="0"/>
              <w:rPr>
                <w:sz w:val="22"/>
                <w:szCs w:val="22"/>
                <w:color w:val="auto"/>
              </w:rPr>
            </w:pPr>
          </w:p>
        </w:tc>
      </w:tr>
      <w:tr>
        <w:trPr>
          <w:trHeight w:val="420"/>
        </w:trPr>
        <w:tc>
          <w:tcPr>
            <w:tcW w:w="3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color w:val="auto"/>
              </w:rPr>
              <w:t>F-17</w:t>
            </w:r>
          </w:p>
        </w:tc>
        <w:tc>
          <w:tcPr>
            <w:tcW w:w="8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w w:val="98"/>
              </w:rPr>
              <w:t>Accrued expenses consisted of the following at December 31, 2022 and 2021:</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payroll and bonuses</w:t>
            </w:r>
          </w:p>
        </w:tc>
        <w:tc>
          <w:tcPr>
            <w:tcW w:w="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371,010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Vacation</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27,082</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43,473</w:t>
            </w:r>
          </w:p>
        </w:tc>
      </w:tr>
      <w:tr>
        <w:trPr>
          <w:trHeight w:val="216"/>
        </w:trPr>
        <w:tc>
          <w:tcPr>
            <w:tcW w:w="1120" w:type="dxa"/>
            <w:vAlign w:val="bottom"/>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projects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316,389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149,711</w:t>
            </w:r>
          </w:p>
        </w:tc>
      </w:tr>
      <w:tr>
        <w:trPr>
          <w:trHeight w:val="216"/>
        </w:trPr>
        <w:tc>
          <w:tcPr>
            <w:tcW w:w="112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223,792</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59,181</w:t>
            </w:r>
          </w:p>
        </w:tc>
      </w:tr>
      <w:tr>
        <w:trPr>
          <w:trHeight w:val="216"/>
        </w:trPr>
        <w:tc>
          <w:tcPr>
            <w:tcW w:w="1120" w:type="dxa"/>
            <w:vAlign w:val="bottom"/>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24,502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58,892</w:t>
            </w:r>
          </w:p>
        </w:tc>
      </w:tr>
      <w:tr>
        <w:trPr>
          <w:trHeight w:val="237"/>
        </w:trPr>
        <w:tc>
          <w:tcPr>
            <w:tcW w:w="112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31,186</w:t>
            </w:r>
          </w:p>
        </w:tc>
        <w:tc>
          <w:tcPr>
            <w:tcW w:w="3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25,557</w:t>
            </w:r>
          </w:p>
        </w:tc>
      </w:tr>
      <w:tr>
        <w:trPr>
          <w:trHeight w:val="229"/>
        </w:trPr>
        <w:tc>
          <w:tcPr>
            <w:tcW w:w="11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993,961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Debt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2022, the Company entered into a Convertible Note Purchase Agreement (the Agreement) to issue up to $4,500,000 convertible promissory notes. On the same day, the Company entered into convertible promissory notes (2022 Convertible Notes) with three investors totaling $4,350,000. The 2022 Convertible Notes mature on January 13, 2023 or the occurrence of an Event of Default (as defined) and bear interest at a rate of 8% per annum which shall accrue but is not due and payable until conversion or full repayment of outstanding principal. The principal and interest outstanding under the 2022 Convertible Notes is automatically converted a) upon the closing of a Qualified Financing resulting in gross proceeds to the Company of at least $20 million into securities issued in connection with the Qualified Financing, at a discount of 30% per share; b) upon the closing of a Change of Control event into shares of capital stock of the Company or Series B preferred stock; and c) upon the closing of a Public Company Event, into shares of capital stock being issued to investors equal to two-times (2x) the amount of the outstanding principal and accrued interest then outstanding divided by the public offering price per share. The principal and interest outstanding under the 2022 Convertible Notes is convertible, at the option of the holders, at the maturity date into a new class of Company’s Preferred Stock (Series C Preferred) equal to the quotient of the outstanding principal amount plus interest divided by the Capped Price, which is defined as the price per share equal to the Valuation Cap of $30 million divided by the Company Capitalization, as defined in the Agreement.</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the 2022 Convertible Notes under ASC 815. Under 815-15-25, the election can be at the inception of a financial instrument to account for the instrument under the fair value option under ASC 825. The Company has made such election for the 2022 Convertible Notes. Using the fair value option, the convertible promissory note is to be recorded at its initial fair value on the date of issuance, and each balance sheet date thereafter. The Company evaluates the change based on the conversion price at the current market value. When recognized, changes in the estimated fair value of the notes are recognized as a non-cash gain or loss in Other Income (Expense) on the statements of operations. The Company recognized a change in fair value of the 2022 Convertible Notes of $1,250,000 for the year ended December 31, 2022.</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January 5, 2021, the Company entered into a Note Purchase Agreement to issue up to $2,000,000 of convertible promissory notes. On the same date, the Company entered into a convertible promissory note (2021 Convertible Note) with one investor for $1,000,000. The 2021 Convertible Note bears interest at a rate of 6% per annum and is due and payable in full on January 5, 2023. The 2021 Convertible Note automatically converts upon a qualified equity financing, as defined in the note agreement to the number of shares equal to all principal and accrued interest divided by the conversion price of $48.00, which is subject to adjustment as defined in the note agreement. The 2021 Convertible Note is also optionally convertible as defined in the note agreement for certain non-qualified financing, a change in control, or upon the maturity date of the 2021 Convertible Note. The Company incurred issuance costs of $15,613 related to the 2021 Convertible Note, which has been recorded as a debt discount and were amortized over the term of the 2021 Convertible Note. The issuance costs were fully amortized at December 31,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Debt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evaluated the terms and conditions of the Note Purchase Agreement related to the 2021 Convertible Note in order to assess the accounting considerations under ASC 480 – Distinguishing Liabilities from Equity, and ASC 815 – Derivatives and Hedging. The Company determined the Convertible Note does not meet any of the criteria to be accounted pursuant to an ASC 480 liability. The Company also assessed the embedded features pursuant to the guidance in ASC 815 and determined the embedded features do not meet any of the criteria for bifurcation.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payable consisted of the following at December 31:</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00" w:type="dxa"/>
            <w:vAlign w:val="bottom"/>
            <w:tcBorders>
              <w:bottom w:val="single" w:sz="8" w:color="CCEEFF"/>
            </w:tcBorders>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84"/>
              </w:rPr>
              <w:t>1,000,000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2022</w:t>
            </w:r>
          </w:p>
        </w:tc>
        <w:tc>
          <w:tcPr>
            <w:tcW w:w="32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480"/>
              <w:spacing w:after="0"/>
              <w:rPr>
                <w:sz w:val="20"/>
                <w:szCs w:val="20"/>
                <w:color w:val="auto"/>
              </w:rPr>
            </w:pPr>
            <w:r>
              <w:rPr>
                <w:rFonts w:ascii="Arial" w:cs="Arial" w:eastAsia="Arial" w:hAnsi="Arial"/>
                <w:sz w:val="18"/>
                <w:szCs w:val="18"/>
                <w:b w:val="1"/>
                <w:bCs w:val="1"/>
                <w:color w:val="auto"/>
              </w:rPr>
              <w:t>5,600,000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84"/>
              </w:rPr>
              <w:t>6,600,000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Debt issuance costs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(7,981)</w:t>
            </w:r>
          </w:p>
        </w:tc>
      </w:tr>
      <w:tr>
        <w:trPr>
          <w:trHeight w:val="229"/>
        </w:trPr>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84"/>
              </w:rPr>
              <w:t>6,600,000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$7,981 and $7,632 amortized related to the debt issuance costs during the years ended December 31, 2022 and 2021, respectively. Interest accrued on the convertible notes was $223,792 and $59,181 at December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Payroll Protection Program Loan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10, 2020 the Company received a loan in the amount of $230,685 under the Payroll Protection Program (PPP Loan). The loan accrued interest at a rate of 1% and had an original maturity date of two years which could be extended to five years by mutual agreement of the Company and the lender.</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requirements of the CARES Act, as amended by the PPP Flexibility Act and Consolidated Appropriations Act, 2021, proceeds could only be used for the Company’s eligible payroll costs (with salary capped at $100,000 on an annualized basis for each employee), or other eligible costs related to rent, mortgage interest utilities, covered operations expenditures, covered property damage, covered supplier costs, and covered worker protection expenditures, in each case paid during the 24-week period following disbursement. The PPP Loan could be fully forgiven if (i) proceeds are used to pay eligible payroll costs or other eligible costs and (ii) full-time employee headcount and salaries are either maintained during the 24-week period following disbursement or restored by December 31,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notification of full forgiveness of the PPP Loan on January 25, 2021 and has recorded the amount in other income on the statement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9440" w:firstLine="8"/>
        <w:spacing w:after="0" w:line="566" w:lineRule="auto"/>
        <w:tabs>
          <w:tab w:leader="none" w:pos="18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jc w:val="both"/>
        <w:spacing w:after="0" w:line="342" w:lineRule="auto"/>
        <w:rPr>
          <w:sz w:val="20"/>
          <w:szCs w:val="20"/>
          <w:color w:val="auto"/>
        </w:rPr>
      </w:pPr>
      <w:r>
        <w:rPr>
          <w:rFonts w:ascii="Arial" w:cs="Arial" w:eastAsia="Arial" w:hAnsi="Arial"/>
          <w:sz w:val="16"/>
          <w:szCs w:val="16"/>
          <w:color w:val="auto"/>
        </w:rPr>
        <w:t>At December 31, 2022 and 2021, respectively, per the Company’s amended and restated Certificate of Incorporation, the Company was authorized to issue 100,000,000 shares of $0.0001 par value common stock. Refer to Note 19, Subsequent Events for more information related to the Forward-Stock Split.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1,043,991 and 1,043,103 shares of common stock issued and outstanding as of December 31, 2022 and 2021,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and the holders of the Common Stock are entitled to elect one director of the Corporation.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currently has 8,504,678 shares of common stock reserved for future issuance for the potential conversion of the outstanding Preferred Stock and the exercise of stock options and warrants outstanding at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and 2021, respectively, per the Company’s amended and restated Certificate of Incorporation, the Company has authorized 1,437,150 and 978,042 shares of $0.0001 par value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Series A, Series A-1, and Series B Preferred Stock have the following rights, preferences and privileges: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preferred stock is convertible, at the option of the holder, into common shares based upon a predefined formula. A holder of preferred stock may convert such shares into common shares at any time. For purpose of conversion, the initial conversion price is $2.2887 per share (original issue price) for Series A Preferred Stock, $5.2817 per share (original issue price) for Series A-1 Preferred Stock, and $6.1190 per share (original issue price) for Series B Preferred Stock, and is subject to adjustment as described in the Certificate of Incorporation. Preferred stock will automatically convert into common shares upon the earlier of (a) an initial public offering with gross proceeds in excess of $100,000,000 or (b) the date and time, or the occurrence of an event, specified by vote or written consent of the required preferred stock shareholders, all outstanding Series A, Series A-1, and Series B Preferred Stock shall automatically convert into common shares, at the then effective conversion rate.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8520" w:firstLine="8"/>
        <w:spacing w:after="0" w:line="566" w:lineRule="auto"/>
        <w:tabs>
          <w:tab w:leader="none" w:pos="18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Preferred Stock (continued)</w:t>
      </w: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holders of the Series A, Series A-1, and Series B Preferred Stock are entitled to vote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The holders of the Series A and Series A-1 Preferred Stock are each entitled to elect one director of the Corporation. The holders of the Series B Stock are entitled to elect two members of the Board. Each class of preferred stock can remove from office such directors and to fill any vacancy caused by the resignation, death or removal of such directors under certain circumstances as described in the Certificate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Series A Preferred Stock are entitled to receive dividends at a rate of 8% per annum of the Series A original issue price of $2.2887 per share on each outstanding share of Series A Preferred Stock (subject to appropriate adjustment in the event of any stock dividend, stock split, combination or other similar recapitalization with respect to the Series A Preferred Stock). Dividends accumulate from the original date of issuance of the Series A Preferred Stock, are cumulative and are payable upon declaration of the Board of Directors or liquidation of the Company. At December 31, 2022, cumulative dividends on Series A Preferred Stock were $1,541,575.</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holders of Series A-1 Stock are entitled to receive dividends at a rate of 8% per annum of the Series A-1 original issue price of $5.2817 per share on each outstanding share of Series A-1 (subject to appropriate adjustment in the event of any stock dividend, stock split, combination or other similar recapitalization with respect to the Series A-1 Preferred Stock). Dividends are cumulative and are payable upon declaration of the Board of Directors or liquidation of the Company. At December 31, 2022, cumulative dividends on Series A-1 Preferred Stock were $4,332,153.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Series B Stock are entitled to receive dividends at a rate of 8% per annum of the Series B original issue price of $6.1190 per share on each outstanding share of Series B (subject to appropriate adjustment in the event of any stock dividend, stock split, combination or other similar recapitalization with respect to the Series B Preferred Stock). Dividends are cumulative and are payable upon declaration of the Board of Directors or liquidation of the Company. At December 31, 2022, cumulative dividends on Series B Preferred Stock were $3,135,585.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8520" w:firstLine="8"/>
        <w:spacing w:after="0" w:line="566" w:lineRule="auto"/>
        <w:tabs>
          <w:tab w:leader="none" w:pos="18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Preferred Stock (continued)</w:t>
      </w: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any liquidation, dissolution or winding up of the Company, the holders of the preferred stock are entitled to receive, prior to and in preference to the holders of the common shares, an amount equal to the Series A, Series A-1, or Series B Preferred Stock original issue price, plus declared and/or accrued but unpaid dividends. In the event of any such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into Common Stock pursuant to the terms of the Certificate of Incorporation immediately prior to such liquidation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issued warrants to purchase 47,889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 Distinguishing Liabilities from Equity. These warrants have an exercise price of $0.48 per share a term of 10 years. The warrants are marked to market each reporting period. The fair value is $70,283 and $71,104 at December 31, 2022 and 2021, respectively. At December 31, 2022, the Company estimated the fair value of the warrants using the Black-Scholes option pricing model with the following assumptions: Underlying common stock value of $1.70; Expected term of 5 years; Expected Volatility of 86.0%; Risk Free Interest Rate of 3.01%; and Dividend Yield of 0%. At December 31, 2021, the Company estimated the fair value of the warrants using the Black-Scholes option pricing model with the following assumptions: Underlying common stock value of $1.70; Expected term of 6 years; Expected Volatility of 86.0%; Risk Free Interest Rate of 1.35%; and Dividend Yield of 0%.</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issued warrants in 2016 and 2019 which did not meet the criteria under ASC 480 to be classified as a liability, and instead meet equity classification criteria.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92"/>
              </w:rPr>
              <w:t>Warrants Outstanding</w:t>
            </w:r>
          </w:p>
        </w:tc>
        <w:tc>
          <w:tcPr>
            <w:tcW w:w="9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b w:val="1"/>
                <w:bCs w:val="1"/>
                <w:color w:val="auto"/>
                <w:w w:val="90"/>
              </w:rPr>
              <w:t>Warrants Exercisable</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Year Granted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Warrants at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 at</w:t>
            </w:r>
          </w:p>
        </w:tc>
        <w:tc>
          <w:tcPr>
            <w:tcW w:w="3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1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12/31/2022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340" w:type="dxa"/>
            <w:vAlign w:val="bottom"/>
          </w:tcPr>
          <w:p>
            <w:pPr>
              <w:spacing w:after="0"/>
              <w:rPr>
                <w:sz w:val="20"/>
                <w:szCs w:val="20"/>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12/31/2022</w:t>
            </w:r>
          </w:p>
        </w:tc>
        <w:tc>
          <w:tcPr>
            <w:tcW w:w="3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 years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3.7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47,889</w:t>
            </w: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5.3 years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1120" w:type="dxa"/>
            <w:vAlign w:val="bottom"/>
          </w:tcPr>
          <w:p>
            <w:pPr>
              <w:jc w:val="right"/>
              <w:spacing w:after="0"/>
              <w:rPr>
                <w:sz w:val="20"/>
                <w:szCs w:val="20"/>
                <w:color w:val="auto"/>
              </w:rPr>
            </w:pPr>
            <w:r>
              <w:rPr>
                <w:rFonts w:ascii="Arial" w:cs="Arial" w:eastAsia="Arial" w:hAnsi="Arial"/>
                <w:sz w:val="18"/>
                <w:szCs w:val="18"/>
                <w:color w:val="auto"/>
              </w:rPr>
              <w:t>47,889</w:t>
            </w:r>
          </w:p>
        </w:tc>
        <w:tc>
          <w:tcPr>
            <w:tcW w:w="3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5.3 years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215,854</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 years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215,854</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3.1 years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275,210</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275,210</w:t>
            </w: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2016, the Company established the Azitra, Inc. 2016 Stock Incentive Plan (the Plan) which provides for the granting of stock options and restricted shares to the Company’s employees, officers, directors, advisors and consultants. There are 1,490,595 shares available for granting under the Plan at December 31, 2022 and 2021. Options vest over varying time frames.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December 31, 2022 and 2021, the Company granted 0 and 495,580, respectively, stock options to acquire shares of common stock. The options vest over varying time frames between two and four years, have a life of ten years and an exercise price of $1.70. During the years ended December 31, 2022 and 2021, the Company recognized stock compensation expense of $184,465 and $306,055, respectively, relating to the issuance of service-based stock options. At December 31, 2022, there was $427,784 of unamortized compensation expense that will be amortized over the remaining vesting period. At December 31, 2022, there were 93,152 performance-based options outstanding with a fair value of $109,551. During the year ended December 31, 2022, the Company did not recognize any compensation expense for performance-based options. The Company determined the options qualified as plain vanilla under the provisions of SAB 107 and the simplified method was used to estimate the expected option life.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determine the estimated fair value of the options granted during 2021, the Company used the Black-Scholes option pricing model with the following assumptions: Underlying common stock value of $1.70; Expected term of 7 years; Expected Volatility of 86.0%; Risk Free Interest Rate of 0.66% - 1.26%; and Dividend Yield of 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at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8"/>
              </w:rPr>
              <w:t>Options Exercisable</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5"/>
          </w:tcPr>
          <w:p>
            <w:pPr>
              <w:jc w:val="center"/>
              <w:ind w:right="240"/>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ind w:left="26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ind w:left="260"/>
              <w:spacing w:after="0"/>
              <w:rPr>
                <w:sz w:val="20"/>
                <w:szCs w:val="20"/>
                <w:color w:val="auto"/>
              </w:rPr>
            </w:pPr>
            <w:r>
              <w:rPr>
                <w:rFonts w:ascii="Arial" w:cs="Arial" w:eastAsia="Arial" w:hAnsi="Arial"/>
                <w:sz w:val="18"/>
                <w:szCs w:val="18"/>
                <w:b w:val="1"/>
                <w:bCs w:val="1"/>
                <w:color w:val="auto"/>
              </w:rPr>
              <w:t>Options at</w:t>
            </w:r>
          </w:p>
        </w:tc>
        <w:tc>
          <w:tcPr>
            <w:tcW w:w="3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Contractual</w:t>
            </w: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Exercise</w:t>
            </w:r>
          </w:p>
        </w:tc>
        <w:tc>
          <w:tcPr>
            <w:tcW w:w="12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Options at</w:t>
            </w:r>
          </w:p>
        </w:tc>
        <w:tc>
          <w:tcPr>
            <w:tcW w:w="34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1920" w:type="dxa"/>
            <w:vAlign w:val="bottom"/>
            <w:gridSpan w:val="3"/>
          </w:tcPr>
          <w:p>
            <w:pPr>
              <w:ind w:left="240"/>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tcPr>
          <w:p>
            <w:pPr>
              <w:ind w:left="260"/>
              <w:spacing w:after="0"/>
              <w:rPr>
                <w:sz w:val="20"/>
                <w:szCs w:val="20"/>
                <w:color w:val="auto"/>
              </w:rPr>
            </w:pPr>
            <w:r>
              <w:rPr>
                <w:rFonts w:ascii="Arial" w:cs="Arial" w:eastAsia="Arial" w:hAnsi="Arial"/>
                <w:sz w:val="18"/>
                <w:szCs w:val="18"/>
                <w:b w:val="1"/>
                <w:bCs w:val="1"/>
                <w:color w:val="auto"/>
              </w:rPr>
              <w:t>12/31/2022</w:t>
            </w:r>
          </w:p>
        </w:tc>
        <w:tc>
          <w:tcPr>
            <w:tcW w:w="3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20"/>
                <w:szCs w:val="20"/>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12/31/2022</w:t>
            </w:r>
          </w:p>
        </w:tc>
        <w:tc>
          <w:tcPr>
            <w:tcW w:w="340" w:type="dxa"/>
            <w:vAlign w:val="bottom"/>
          </w:tcPr>
          <w:p>
            <w:pPr>
              <w:spacing w:after="0"/>
              <w:rPr>
                <w:sz w:val="20"/>
                <w:szCs w:val="20"/>
                <w:color w:val="auto"/>
              </w:rPr>
            </w:pPr>
          </w:p>
        </w:tc>
        <w:tc>
          <w:tcPr>
            <w:tcW w:w="7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3"/>
              </w:rPr>
              <w:t>Life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r>
      <w:tr>
        <w:trPr>
          <w:trHeight w:val="216"/>
        </w:trPr>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246,136</w:t>
            </w: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3.0 years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246,136</w:t>
            </w:r>
          </w:p>
        </w:tc>
        <w:tc>
          <w:tcPr>
            <w:tcW w:w="3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9"/>
              </w:rPr>
              <w:t>3.0 years</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0.93</w:t>
            </w:r>
          </w:p>
        </w:tc>
        <w:tc>
          <w:tcPr>
            <w:tcW w:w="1340" w:type="dxa"/>
            <w:vAlign w:val="bottom"/>
          </w:tcPr>
          <w:p>
            <w:pPr>
              <w:jc w:val="right"/>
              <w:spacing w:after="0"/>
              <w:rPr>
                <w:sz w:val="20"/>
                <w:szCs w:val="20"/>
                <w:color w:val="auto"/>
              </w:rPr>
            </w:pPr>
            <w:r>
              <w:rPr>
                <w:rFonts w:ascii="Arial" w:cs="Arial" w:eastAsia="Arial" w:hAnsi="Arial"/>
                <w:sz w:val="18"/>
                <w:szCs w:val="18"/>
                <w:color w:val="auto"/>
              </w:rPr>
              <w:t>231,680</w:t>
            </w:r>
          </w:p>
        </w:tc>
        <w:tc>
          <w:tcPr>
            <w:tcW w:w="34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3.0 years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0.93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231,680</w:t>
            </w:r>
          </w:p>
        </w:tc>
        <w:tc>
          <w:tcPr>
            <w:tcW w:w="34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3.0 years</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812,502</w:t>
            </w:r>
          </w:p>
        </w:tc>
        <w:tc>
          <w:tcPr>
            <w:tcW w:w="3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8.3 years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411,707</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89"/>
              </w:rPr>
              <w:t>8.0 years</w:t>
            </w:r>
          </w:p>
        </w:tc>
        <w:tc>
          <w:tcPr>
            <w:tcW w:w="78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1,290,318</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889,523</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100" w:type="dxa"/>
            <w:vAlign w:val="bottom"/>
            <w:gridSpan w:val="12"/>
          </w:tcPr>
          <w:p>
            <w:pPr>
              <w:spacing w:after="0"/>
              <w:rPr>
                <w:sz w:val="20"/>
                <w:szCs w:val="20"/>
                <w:color w:val="auto"/>
              </w:rPr>
            </w:pPr>
            <w:r>
              <w:rPr>
                <w:rFonts w:ascii="Arial" w:cs="Arial" w:eastAsia="Arial" w:hAnsi="Arial"/>
                <w:sz w:val="18"/>
                <w:szCs w:val="18"/>
                <w:color w:val="auto"/>
                <w:w w:val="99"/>
              </w:rPr>
              <w:t>Total stock option activity for the years ended December 31, 2022 and 2021 is summarized as follows: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959,827</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495,580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(17,750)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Forfeited</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gridSpan w:val="4"/>
          </w:tcPr>
          <w:p>
            <w:pPr>
              <w:jc w:val="right"/>
              <w:ind w:right="280"/>
              <w:spacing w:after="0"/>
              <w:rPr>
                <w:sz w:val="20"/>
                <w:szCs w:val="20"/>
                <w:color w:val="auto"/>
              </w:rPr>
            </w:pPr>
            <w:r>
              <w:rPr>
                <w:rFonts w:ascii="Arial" w:cs="Arial" w:eastAsia="Arial" w:hAnsi="Arial"/>
                <w:sz w:val="18"/>
                <w:szCs w:val="18"/>
                <w:color w:val="auto"/>
              </w:rPr>
              <w:t>(55,749)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r>
      <w:tr>
        <w:trPr>
          <w:trHeight w:val="216"/>
        </w:trPr>
        <w:tc>
          <w:tcPr>
            <w:tcW w:w="32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1,381,908</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Exercised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(888)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8"/>
                <w:szCs w:val="18"/>
                <w:color w:val="auto"/>
              </w:rPr>
            </w:pPr>
          </w:p>
        </w:tc>
      </w:tr>
      <w:tr>
        <w:trPr>
          <w:trHeight w:val="250"/>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(90,702)</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5.91.41</w:t>
            </w:r>
          </w:p>
        </w:tc>
        <w:tc>
          <w:tcPr>
            <w:tcW w:w="100" w:type="dxa"/>
            <w:vAlign w:val="bottom"/>
            <w:shd w:val="clear" w:color="auto" w:fill="CCEEFF"/>
          </w:tcPr>
          <w:p>
            <w:pPr>
              <w:spacing w:after="0"/>
              <w:rPr>
                <w:sz w:val="21"/>
                <w:szCs w:val="21"/>
                <w:color w:val="auto"/>
              </w:rPr>
            </w:pPr>
          </w:p>
        </w:tc>
      </w:tr>
      <w:tr>
        <w:trPr>
          <w:trHeight w:val="216"/>
        </w:trPr>
        <w:tc>
          <w:tcPr>
            <w:tcW w:w="32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Outstanding at December 31, 2022</w:t>
            </w: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1,290,318</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top w:val="single" w:sz="8" w:color="CCEEFF"/>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157,989 shares available for future grant under the Plan at December 31,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fair values and levels within the fair value hierarchy in which the fair value measurements fall for assets and liabilities measured on a recurring basis as 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December 31, 2022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Common stock warrants</w:t>
            </w:r>
          </w:p>
        </w:tc>
        <w:tc>
          <w:tcPr>
            <w:tcW w:w="440" w:type="dxa"/>
            <w:vAlign w:val="bottom"/>
            <w:gridSpan w:val="2"/>
          </w:tcPr>
          <w:p>
            <w:pPr>
              <w:jc w:val="right"/>
              <w:ind w:right="69"/>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980"/>
              <w:spacing w:after="0"/>
              <w:rPr>
                <w:sz w:val="20"/>
                <w:szCs w:val="20"/>
                <w:color w:val="auto"/>
              </w:rPr>
            </w:pPr>
            <w:r>
              <w:rPr>
                <w:rFonts w:ascii="Arial" w:cs="Arial" w:eastAsia="Arial" w:hAnsi="Arial"/>
                <w:sz w:val="8"/>
                <w:szCs w:val="8"/>
                <w:b w:val="1"/>
                <w:bCs w:val="1"/>
                <w:color w:val="auto"/>
                <w:w w:val="73"/>
              </w:rPr>
              <w:t>-</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70,283</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Convertible Notes</w:t>
            </w: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ind w:left="980"/>
              <w:spacing w:after="0"/>
              <w:rPr>
                <w:sz w:val="20"/>
                <w:szCs w:val="20"/>
                <w:color w:val="auto"/>
              </w:rPr>
            </w:pPr>
            <w:r>
              <w:rPr>
                <w:rFonts w:ascii="Arial" w:cs="Arial" w:eastAsia="Arial" w:hAnsi="Arial"/>
                <w:sz w:val="8"/>
                <w:szCs w:val="8"/>
                <w:b w:val="1"/>
                <w:bCs w:val="1"/>
                <w:color w:val="auto"/>
                <w:w w:val="73"/>
              </w:rPr>
              <w:t>-</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5,600,000</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8"/>
                <w:szCs w:val="8"/>
                <w:b w:val="1"/>
                <w:bCs w:val="1"/>
                <w:color w:val="auto"/>
                <w:w w:val="73"/>
              </w:rPr>
              <w:t>-</w:t>
            </w: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5,670,283</w:t>
            </w: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5,670,283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December 31, 2021</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Common stock warrants</w:t>
            </w:r>
          </w:p>
        </w:tc>
        <w:tc>
          <w:tcPr>
            <w:tcW w:w="44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040" w:type="dxa"/>
            <w:vAlign w:val="bottom"/>
          </w:tcPr>
          <w:p>
            <w:pPr>
              <w:ind w:left="980"/>
              <w:spacing w:after="0"/>
              <w:rPr>
                <w:sz w:val="20"/>
                <w:szCs w:val="20"/>
                <w:color w:val="auto"/>
              </w:rPr>
            </w:pPr>
            <w:r>
              <w:rPr>
                <w:rFonts w:ascii="Arial" w:cs="Arial" w:eastAsia="Arial" w:hAnsi="Arial"/>
                <w:sz w:val="8"/>
                <w:szCs w:val="8"/>
                <w:color w:val="auto"/>
                <w:w w:val="73"/>
              </w:rPr>
              <w:t>-</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71,104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Level 3 instruments measured on a recurring basis for the years ended December 31, 2022 and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34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72,093</w:t>
            </w:r>
          </w:p>
        </w:tc>
        <w:tc>
          <w:tcPr>
            <w:tcW w:w="100" w:type="dxa"/>
            <w:vAlign w:val="bottom"/>
            <w:shd w:val="clear" w:color="auto" w:fill="CCEEFF"/>
          </w:tcPr>
          <w:p>
            <w:pPr>
              <w:spacing w:after="0"/>
              <w:rPr>
                <w:sz w:val="18"/>
                <w:szCs w:val="18"/>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Change in fair value of warrants</w:t>
            </w:r>
          </w:p>
        </w:tc>
        <w:tc>
          <w:tcPr>
            <w:tcW w:w="2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(989)</w:t>
            </w: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29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Change in fair value of warrants</w:t>
            </w: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(821)</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2022 Convertible Notes</w:t>
            </w:r>
          </w:p>
        </w:tc>
        <w:tc>
          <w:tcPr>
            <w:tcW w:w="2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4,350,000</w:t>
            </w:r>
          </w:p>
        </w:tc>
        <w:tc>
          <w:tcPr>
            <w:tcW w:w="100" w:type="dxa"/>
            <w:vAlign w:val="bottom"/>
            <w:shd w:val="clear" w:color="auto" w:fill="CCEEFF"/>
          </w:tcPr>
          <w:p>
            <w:pPr>
              <w:spacing w:after="0"/>
              <w:rPr>
                <w:sz w:val="18"/>
                <w:szCs w:val="18"/>
                <w:color w:val="auto"/>
              </w:rPr>
            </w:pPr>
          </w:p>
        </w:tc>
      </w:tr>
      <w:tr>
        <w:trPr>
          <w:trHeight w:val="237"/>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2022 Convertible Notes</w:t>
            </w:r>
          </w:p>
        </w:tc>
        <w:tc>
          <w:tcPr>
            <w:tcW w:w="29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1,250,000</w:t>
            </w:r>
          </w:p>
        </w:tc>
        <w:tc>
          <w:tcPr>
            <w:tcW w:w="100" w:type="dxa"/>
            <w:vAlign w:val="bottom"/>
            <w:tcBorders>
              <w:bottom w:val="single" w:sz="8" w:color="CCEEFF"/>
            </w:tcBorders>
          </w:tcPr>
          <w:p>
            <w:pPr>
              <w:spacing w:after="0"/>
              <w:rPr>
                <w:sz w:val="20"/>
                <w:szCs w:val="20"/>
                <w:color w:val="auto"/>
              </w:rPr>
            </w:pPr>
          </w:p>
        </w:tc>
      </w:tr>
      <w:tr>
        <w:trPr>
          <w:trHeight w:val="230"/>
        </w:trPr>
        <w:tc>
          <w:tcPr>
            <w:tcW w:w="65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5,670,283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 in the fair value of the Company’s Common stock is the primary driver for the change in the Common Stock Warrant liability valuation during each year. As the fair value of the Common stock increases the value to the holder of the instrument generally increases.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Fluctuations in the various inputs, including the enterprise value, time to liquidity, volatility, and discount rate are the primary drivers for the changes in valuation of the 2022 Convertible Notes each reporting period. As the fair value of the enterprise value, estimated time to liquidity, volatility, and discount rate increase, the value to the holder of the 2022 Convertible Notes generally increases.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are provided on temporary differences between the carrying amounts of assets and liabilities for financial reporting purposes and those for income tax reporting purposes. Deferred income tax assets / (liabilities) as of December 31, 2022 and 2021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7,870,665</w:t>
            </w:r>
          </w:p>
        </w:tc>
        <w:tc>
          <w:tcPr>
            <w:tcW w:w="180" w:type="dxa"/>
            <w:vAlign w:val="bottom"/>
          </w:tcPr>
          <w:p>
            <w:pPr>
              <w:spacing w:after="0"/>
              <w:rPr>
                <w:sz w:val="18"/>
                <w:szCs w:val="18"/>
                <w:color w:val="auto"/>
              </w:rPr>
            </w:pP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6,994,967</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1,729,421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1,216,246</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1,189,975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48,288</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25,240</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10,899,994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8,284,741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(234,616)</w:t>
            </w:r>
          </w:p>
        </w:tc>
      </w:tr>
      <w:tr>
        <w:trPr>
          <w:trHeight w:val="216"/>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860" w:type="dxa"/>
            <w:vAlign w:val="bottom"/>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(10,899,994)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(8,050,125)</w:t>
            </w:r>
          </w:p>
        </w:tc>
      </w:tr>
      <w:tr>
        <w:trPr>
          <w:trHeight w:val="230"/>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federal net operating loss carryforwards of approximately $29,192,000 and $25,954,000 for the tax years ending December 31, 2022 and 2021, respectively, of which $1,285,000 will expire in tax years 2036 through 2037 and approximately $27,907,000 which does not expire. The Company has state net operating loss carryforwards of approximately $29,374,000 and $25,947,000 for the tax years ending December 31, 2022 and 2021, respectively, which will expire in tax years 2036 through 2042.</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federal research tax credits of approximately $1,235,000 and $859,000 for the tax years ending December 31, 2022 and 2021, respectively, which expire in tax years 2039 through 2042. The Company has state research tax credits of approximately $350,000 and $249,000 for the tax years ending December 31, 2022 and 2021, respectively, of which $60,000 will expire in tax year 2036, $100,000 will expire in tax year 2037 and the remainder can be carried forward indefinitely. The Company has Canadian research tax credits of approximately $218,000 and $138,000 for the tax years ending December 31, 2022 and 2021, respectively, which expire in tax years 2039 through 2042.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Internal Revenue Code Section 382 imposes an annual limit on the ability of a corporation that undergoes a greater than 50% ownership change to use its net operating loss carry forwards to reduce its tax liability. If in the future the Company undergoes an ownership change exceeding the 50% limitation threshold imposed by Section 382, the Company’s net operating loss carryforwards may be significantly limited as to the amount of use in a particular year. In addition, all or a portion of the Company’s net operating loss carryforwards incurred before 2018, may expire unutilized.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realization of deferred tax assets is dependent upon the Company’s ability to generate future taxable income during the periods in which the temporary differences become deductible. Based on the Company’s recent earnings history and projected future U.S. earnings, management believes that it is more likely than not that its federal and state deferred tax assets will not be fully realized in the foreseeable future. As a result of this assessment, management believes that a full valuation allowance against its net federal and state deferred tax assets is required.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the provisions of ASC 740-10 to account for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that not that the tax position will be sustained on examination by the taxing authorities, based on the technical merits of the position. The Company has determined that it has no significant uncertain tax positions requiring recognition and measurement under ASC 740-10.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Connecticut state income tax and Canada branch tax. The Company has not been audited by the IRS, state, or foreign tax authorities in connection with income taxes. The Company’s tax years remain open to examination for all federal and state tax matters until its net operating loss carryforwards are utilized and the applicable statute of limitations have expired.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recognize interest and penalties related to unrecognized tax benefits, if applicable, as a component of income tax expense.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14. Net Loss Per Share</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Basic and diluted net loss per share were calculated as follows: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w w:val="95"/>
              </w:rPr>
              <w:t>The numerator for basic and diluted net loss per share is as follows: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Year Ended December 31,</w:t>
            </w:r>
          </w:p>
        </w:tc>
      </w:tr>
      <w:tr>
        <w:trPr>
          <w:trHeight w:val="237"/>
        </w:trPr>
        <w:tc>
          <w:tcPr>
            <w:tcW w:w="516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10,680,366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8,939,675</w:t>
            </w:r>
          </w:p>
        </w:tc>
        <w:tc>
          <w:tcPr>
            <w:tcW w:w="10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 on preferred stock</w:t>
            </w:r>
          </w:p>
        </w:tc>
        <w:tc>
          <w:tcPr>
            <w:tcW w:w="2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2,768,984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2,768,984</w:t>
            </w:r>
          </w:p>
        </w:tc>
        <w:tc>
          <w:tcPr>
            <w:tcW w:w="10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13,449,350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11,708,659</w:t>
            </w:r>
          </w:p>
        </w:tc>
        <w:tc>
          <w:tcPr>
            <w:tcW w:w="100" w:type="dxa"/>
            <w:vAlign w:val="bottom"/>
            <w:shd w:val="clear" w:color="auto" w:fill="CCEEFF"/>
          </w:tcPr>
          <w:p>
            <w:pPr>
              <w:spacing w:after="0"/>
              <w:rPr>
                <w:sz w:val="18"/>
                <w:szCs w:val="18"/>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The denominator is as follows: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Year Ended December 31,</w:t>
            </w:r>
          </w:p>
        </w:tc>
      </w:tr>
      <w:tr>
        <w:trPr>
          <w:trHeight w:val="236"/>
        </w:trPr>
        <w:tc>
          <w:tcPr>
            <w:tcW w:w="516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basic and diluted</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1,043,990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1,034,299</w:t>
            </w:r>
          </w:p>
        </w:tc>
        <w:tc>
          <w:tcPr>
            <w:tcW w:w="100" w:type="dxa"/>
            <w:vAlign w:val="bottom"/>
            <w:shd w:val="clear" w:color="auto" w:fill="CCEEFF"/>
          </w:tcPr>
          <w:p>
            <w:pPr>
              <w:spacing w:after="0"/>
              <w:rPr>
                <w:sz w:val="18"/>
                <w:szCs w:val="18"/>
                <w:color w:val="auto"/>
              </w:rPr>
            </w:pPr>
          </w:p>
        </w:tc>
      </w:tr>
      <w:tr>
        <w:trPr>
          <w:trHeight w:val="23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$0.01 warrants</w:t>
            </w:r>
          </w:p>
        </w:tc>
        <w:tc>
          <w:tcPr>
            <w:tcW w:w="27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1,055,457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1,045,766</w:t>
            </w:r>
          </w:p>
        </w:tc>
        <w:tc>
          <w:tcPr>
            <w:tcW w:w="100" w:type="dxa"/>
            <w:vAlign w:val="bottom"/>
            <w:shd w:val="clear" w:color="auto" w:fill="CCEEFF"/>
          </w:tcPr>
          <w:p>
            <w:pPr>
              <w:spacing w:after="0"/>
              <w:rPr>
                <w:sz w:val="18"/>
                <w:szCs w:val="18"/>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Net loss per share, basic and diluted is as follows: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Year Ended December 31,</w:t>
            </w:r>
          </w:p>
        </w:tc>
      </w:tr>
      <w:tr>
        <w:trPr>
          <w:trHeight w:val="237"/>
        </w:trPr>
        <w:tc>
          <w:tcPr>
            <w:tcW w:w="516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r>
      <w:tr>
        <w:trPr>
          <w:trHeight w:val="439"/>
        </w:trPr>
        <w:tc>
          <w:tcPr>
            <w:tcW w:w="5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color w:val="auto"/>
              </w:rPr>
              <w:t>F-29</w:t>
            </w: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226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8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shares of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1,290,318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1,381,908</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263,743</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263,743</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1,554,061</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1,645,651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26, 2022, the Company entered into an Exclusive License Agreement (the Agreement) with an unrelated third party. Under the Agreement, the Company is granted an exclusive license for certain patents and a non-exclusive license for certain know-how. The Agreement continues until the later of the expiration of the last to expire licensed patent or ten years after the first commercial sale of the first licensed therapeutic or non-therapeutic product. The Company may terminate the Agreement at any time by providing at least 30 days written notice to the third party. The Agreement is also terminated upon breach of a material obligation under the agreement or bankruptcy. Upon any termination of the agreement, neither party is relieved of obligations incurred prior to the termination.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the Company capitalized payments made under this license agreement in the amount of $65,510. These capitalized costs will be amortized over the life of the licensed patents, once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office and lab space in Branford, CT; Groton, CT; and Laval, Quebec. The Company’s leases expire at various dates through May 31, 2027. Most leases are for a fixed term and for a fixed amount. The Company is not a party to any leases that have step rent provisions, escalation clauses, capital improvement funding or payment increases based on any index or 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ind w:right="7480" w:firstLine="8"/>
        <w:spacing w:after="0" w:line="503" w:lineRule="auto"/>
        <w:tabs>
          <w:tab w:leader="none" w:pos="27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 Operating Leases (continued)</w:t>
      </w:r>
    </w:p>
    <w:p>
      <w:pPr>
        <w:jc w:val="both"/>
        <w:spacing w:after="0" w:line="263" w:lineRule="auto"/>
        <w:rPr>
          <w:sz w:val="20"/>
          <w:szCs w:val="20"/>
          <w:color w:val="auto"/>
        </w:rPr>
      </w:pPr>
      <w:r>
        <w:rPr>
          <w:rFonts w:ascii="Arial" w:cs="Arial" w:eastAsia="Arial" w:hAnsi="Arial"/>
          <w:sz w:val="18"/>
          <w:szCs w:val="18"/>
          <w:color w:val="auto"/>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May 2021, the Company entered into a new lease for office and laboratory space in Groton, CT. The Groton lease required monthly payments of $4,234, which was increased to $6,824 in September 2021 upon leasing additional space. The Groton lease is initially for a one-year term, with up to three additional years renewal available.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with initial or remaining terms in excess of one year during each of the next five years follow:</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gridSpan w:val="2"/>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329,937</w:t>
            </w:r>
          </w:p>
        </w:tc>
        <w:tc>
          <w:tcPr>
            <w:tcW w:w="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335,988</w:t>
            </w: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277,209</w:t>
            </w:r>
          </w:p>
        </w:tc>
        <w:tc>
          <w:tcPr>
            <w:tcW w:w="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204,159</w:t>
            </w:r>
          </w:p>
        </w:tc>
        <w:tc>
          <w:tcPr>
            <w:tcW w:w="80" w:type="dxa"/>
            <w:vAlign w:val="bottom"/>
          </w:tcPr>
          <w:p>
            <w:pPr>
              <w:spacing w:after="0"/>
              <w:rPr>
                <w:sz w:val="18"/>
                <w:szCs w:val="18"/>
                <w:color w:val="auto"/>
              </w:rPr>
            </w:pPr>
          </w:p>
        </w:tc>
      </w:tr>
      <w:tr>
        <w:trPr>
          <w:trHeight w:val="249"/>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6440" w:type="dxa"/>
            <w:vAlign w:val="bottom"/>
          </w:tcPr>
          <w:p>
            <w:pPr>
              <w:spacing w:after="0" w:line="203" w:lineRule="exact"/>
              <w:rPr>
                <w:sz w:val="20"/>
                <w:szCs w:val="20"/>
                <w:color w:val="auto"/>
              </w:rPr>
            </w:pPr>
            <w:r>
              <w:rPr>
                <w:rFonts w:ascii="Arial" w:cs="Arial" w:eastAsia="Arial" w:hAnsi="Arial"/>
                <w:sz w:val="18"/>
                <w:szCs w:val="18"/>
                <w:color w:val="auto"/>
              </w:rPr>
              <w:t>Total future undiscounted lease payments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1,223,617</w:t>
            </w:r>
          </w:p>
        </w:tc>
        <w:tc>
          <w:tcPr>
            <w:tcW w:w="80" w:type="dxa"/>
            <w:vAlign w:val="bottom"/>
          </w:tcPr>
          <w:p>
            <w:pPr>
              <w:spacing w:after="0"/>
              <w:rPr>
                <w:sz w:val="17"/>
                <w:szCs w:val="17"/>
                <w:color w:val="auto"/>
              </w:rPr>
            </w:pPr>
          </w:p>
        </w:tc>
      </w:tr>
      <w:tr>
        <w:trPr>
          <w:trHeight w:val="24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(95,337)</w:t>
            </w:r>
          </w:p>
        </w:tc>
      </w:tr>
      <w:tr>
        <w:trPr>
          <w:trHeight w:val="217"/>
        </w:trPr>
        <w:tc>
          <w:tcPr>
            <w:tcW w:w="6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1,128,280</w:t>
            </w:r>
          </w:p>
        </w:tc>
        <w:tc>
          <w:tcPr>
            <w:tcW w:w="80" w:type="dxa"/>
            <w:vAlign w:val="bottom"/>
            <w:tcBorders>
              <w:top w:val="single" w:sz="8" w:color="CCEEFF"/>
            </w:tcBorders>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for all operating leases was $338,864 for the year ended December 31, 2022. The weighted average lease term for all operating leases is 3.8 years. The weighted average discount rate for all operating leases is 4.25%.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2019, the Company sponsors a 401(k) plan that covers substantially all employees. In order to be eligible to participate, an employee must complete two consecutive months of service and work a minimum of two hundred and fifty hours or work 1,000 hours in their first year of service. Employees may make pre-tax deferrals upon meeting the Plan eligibility requirements. Effective January 1, 2020, the Plan was transitioned to a safe harbor plan in which highly compensated employees are not eligible for matching contributions and non-highly compensated employees earn 100% match on first 3% contributed and 50% on the next 2% contributed. Total employer matching contributions were $23,466 and $31,548 for the years ended December 31, 2022 and 2021,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Concentration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that potentially subject the Company to credit risk consist principally of cash and accounts receivable.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2022 and 2021, all grant revenue was from one grantor and three grantors, respectively, and all service revenue was from one customer for both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balance identified in the balance sheet is held in an account with a financial institution and insured by the Federal Deposit Insurance Corporation (FDIC) up to $250,000. At times, cash maintained on deposit may be in excess of FDIC limits.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March 2020, there was a global outbreak of COVID-19 that has resulted in significant changes in the global economy. While the Company has not experienced any disruptions to its business operations to date, these changes, including a potential economic downturn, and any potential resulting direct or indirect negative impact to the Company cannot be determined, however they could have a prospective material impact to the Company’s business, cash flows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earned service revenue from an entity who was also an investor in the Company’s Series B Preferred Stock financing (see Note 9). Total related party revenue was $284,000 and $110,000 for the years ended December 31, 2022 and 2021, respectively and accounts receivable due from the related party was $175,000 and $125,000 at December 31, 2022 and 2021, respectively. Contract liabilities from the related party were $156,000 and $15,000 at December 31, 2022 and 2021,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2022 the Company entered into a convertible promissory note totaling $4,350,000 of which $4,000,000 was attributable to an entity who was also an investor in the Company’s Series A, A-1, and B Preferred Stock financing. (See Note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events occurring between December 31, 2022 and June 13, 2023, the date the financial statements were available to be issued.</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2023, the Company elected to convert the 2021 Convertible Note (see Note 7), including interest accrued but not yet paid of $120,058 at a conversion price of $48.00 into 23,335 shares of its Series B Preferred Stock in accordance with the terms outlined in the Note Purchase Agreement.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2022 Convertible Notes were amended to extend the maturity date to March 31, 2023 and to change the conversion price upon a Qualified Financing or Change in Control event to $30 million divided by the number of shares of the Company’s common stock issued and outstanding, on a fully diluted basis, immediately prior to the close of the Qualified Financing or Change in Control event.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2023, the Company’s Board of Directors and stockholders approved the 2023 Stock Incentive Plan (“2023 Plan”); however, no grants shall be made until the date which the proposed forward stock split and increase in the authorized shares of common stock becomes effective which is expected to occur upon the effectiveness of our registration statement of which this prospectus forms a part. The 2023 Plan allows the Committee to grant up to 2,000,000 shares of Common Stock in the form of incentive and non-statutory stock options, restricted stock awards, restricted stock units, and other stock-based awards to employees, directors, and non-employees. As of March 20, 2023, there were no awards issued under the 2023 Plan.</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17, 2023, the Board of Directors approved a forward stock split at a ratio of 7.1-for-1 upon the effectiveness of the registration statement of which this prospectus forms a part. The Board of Directors also approved an increase in the authorized shares of the Company’s Common Stock to 100,000,000 along with a change in the Common Stock par value to $0.0001. All references to common stock, options to purchase common stock, share data, per share data and related information contained in the consolidated financial statements and related footnotes have been retrospectively adjusted, where applicable, to reflect the effect of the stock split, change in par value of our Common Stock, and the adjustment of the preferred stock conversion ratios, where applicable. Accordingly, an adjustment was made between common stock and additional paid-in-capital in the consolidated balance sheets to reflect the new values after the stock split.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821"/>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76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1,833,395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3,492,656</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97,389</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182,820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 receivable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72,356</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69,666</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13,722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13,722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583,966</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216,886</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43,636</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160,133</w:t>
            </w:r>
          </w:p>
        </w:tc>
        <w:tc>
          <w:tcPr>
            <w:tcW w:w="100" w:type="dxa"/>
            <w:vAlign w:val="bottom"/>
          </w:tcPr>
          <w:p>
            <w:pPr>
              <w:spacing w:after="0"/>
              <w:rPr>
                <w:sz w:val="20"/>
                <w:szCs w:val="20"/>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2,644,464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4,135,883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830,798</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846,958</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47,535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47,507</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1,045,454</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1,116,697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223,208</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219,567</w:t>
            </w:r>
          </w:p>
        </w:tc>
        <w:tc>
          <w:tcPr>
            <w:tcW w:w="100" w:type="dxa"/>
            <w:vAlign w:val="bottom"/>
          </w:tcPr>
          <w:p>
            <w:pPr>
              <w:spacing w:after="0"/>
              <w:rPr>
                <w:sz w:val="18"/>
                <w:szCs w:val="18"/>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patent costs</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864,035</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800,831</w:t>
            </w:r>
          </w:p>
        </w:tc>
        <w:tc>
          <w:tcPr>
            <w:tcW w:w="100" w:type="dxa"/>
            <w:vAlign w:val="bottom"/>
            <w:shd w:val="clear" w:color="auto" w:fill="CCEEFF"/>
          </w:tcPr>
          <w:p>
            <w:pPr>
              <w:spacing w:after="0"/>
              <w:rPr>
                <w:sz w:val="21"/>
                <w:szCs w:val="21"/>
                <w:color w:val="auto"/>
              </w:rPr>
            </w:pPr>
          </w:p>
        </w:tc>
      </w:tr>
      <w:tr>
        <w:trPr>
          <w:trHeight w:val="210"/>
        </w:trPr>
        <w:tc>
          <w:tcPr>
            <w:tcW w:w="6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assets</w:t>
            </w:r>
          </w:p>
        </w:tc>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2,180,232</w:t>
            </w:r>
          </w:p>
        </w:tc>
        <w:tc>
          <w:tcPr>
            <w:tcW w:w="3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2,184,602</w:t>
            </w:r>
          </w:p>
        </w:tc>
        <w:tc>
          <w:tcPr>
            <w:tcW w:w="100" w:type="dxa"/>
            <w:vAlign w:val="bottom"/>
            <w:tcBorders>
              <w:top w:val="single" w:sz="8" w:color="CCEEFF"/>
              <w:bottom w:val="single" w:sz="8" w:color="CCEEFF"/>
            </w:tcBorders>
          </w:tcPr>
          <w:p>
            <w:pPr>
              <w:spacing w:after="0"/>
              <w:rPr>
                <w:sz w:val="18"/>
                <w:szCs w:val="18"/>
                <w:color w:val="auto"/>
              </w:rPr>
            </w:pPr>
          </w:p>
        </w:tc>
      </w:tr>
      <w:tr>
        <w:trPr>
          <w:trHeight w:val="243"/>
        </w:trPr>
        <w:tc>
          <w:tcPr>
            <w:tcW w:w="6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83"/>
        </w:trPr>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5,655,494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7,167,443</w:t>
            </w:r>
          </w:p>
        </w:tc>
        <w:tc>
          <w:tcPr>
            <w:tcW w:w="100" w:type="dxa"/>
            <w:vAlign w:val="bottom"/>
          </w:tcPr>
          <w:p>
            <w:pPr>
              <w:spacing w:after="0"/>
              <w:rPr>
                <w:sz w:val="24"/>
                <w:szCs w:val="24"/>
                <w:color w:val="auto"/>
              </w:rPr>
            </w:pPr>
          </w:p>
        </w:tc>
      </w:tr>
      <w:tr>
        <w:trPr>
          <w:trHeight w:val="196"/>
        </w:trPr>
        <w:tc>
          <w:tcPr>
            <w:tcW w:w="69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982,870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784,687</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292,036</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287,384</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965,461</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993,961</w:t>
            </w:r>
          </w:p>
        </w:tc>
        <w:tc>
          <w:tcPr>
            <w:tcW w:w="100" w:type="dxa"/>
            <w:vAlign w:val="bottom"/>
          </w:tcPr>
          <w:p>
            <w:pPr>
              <w:spacing w:after="0"/>
              <w:rPr>
                <w:sz w:val="18"/>
                <w:szCs w:val="18"/>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42,700</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CEEFF"/>
          </w:tcPr>
          <w:p>
            <w:pPr>
              <w:spacing w:after="0"/>
              <w:rPr>
                <w:sz w:val="21"/>
                <w:szCs w:val="21"/>
                <w:color w:val="auto"/>
              </w:rPr>
            </w:pPr>
          </w:p>
        </w:tc>
      </w:tr>
      <w:tr>
        <w:trPr>
          <w:trHeight w:val="203"/>
        </w:trPr>
        <w:tc>
          <w:tcPr>
            <w:tcW w:w="6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2,283,067</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2,222,032</w:t>
            </w:r>
          </w:p>
        </w:tc>
        <w:tc>
          <w:tcPr>
            <w:tcW w:w="100" w:type="dxa"/>
            <w:vAlign w:val="bottom"/>
            <w:tcBorders>
              <w:top w:val="single" w:sz="8" w:color="CCEEFF"/>
            </w:tcBorders>
          </w:tcPr>
          <w:p>
            <w:pPr>
              <w:spacing w:after="0"/>
              <w:rPr>
                <w:sz w:val="17"/>
                <w:szCs w:val="17"/>
                <w:color w:val="auto"/>
              </w:rPr>
            </w:pPr>
          </w:p>
        </w:tc>
      </w:tr>
      <w:tr>
        <w:trPr>
          <w:trHeight w:val="216"/>
        </w:trPr>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767,159</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840,896</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64,662</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70,283</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Convertible notes payable, net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6,400,000</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6,600,000</w:t>
            </w:r>
          </w:p>
        </w:tc>
        <w:tc>
          <w:tcPr>
            <w:tcW w:w="100" w:type="dxa"/>
            <w:vAlign w:val="bottom"/>
          </w:tcPr>
          <w:p>
            <w:pPr>
              <w:spacing w:after="0"/>
              <w:rPr>
                <w:sz w:val="20"/>
                <w:szCs w:val="20"/>
                <w:color w:val="auto"/>
              </w:rPr>
            </w:pPr>
          </w:p>
        </w:tc>
      </w:tr>
      <w:tr>
        <w:trPr>
          <w:trHeight w:val="216"/>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9,514,888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80" w:type="dxa"/>
            <w:vAlign w:val="bottom"/>
          </w:tcPr>
          <w:p>
            <w:pPr>
              <w:ind w:left="180"/>
              <w:spacing w:after="0" w:line="201" w:lineRule="exact"/>
              <w:rPr>
                <w:sz w:val="20"/>
                <w:szCs w:val="20"/>
                <w:color w:val="auto"/>
              </w:rPr>
            </w:pPr>
            <w:r>
              <w:rPr>
                <w:rFonts w:ascii="Arial" w:cs="Arial" w:eastAsia="Arial" w:hAnsi="Arial"/>
                <w:sz w:val="18"/>
                <w:szCs w:val="18"/>
                <w:color w:val="auto"/>
                <w:w w:val="99"/>
              </w:rPr>
              <w:t>Series A convertible preferred stock; $0.0001 par value; 205,385 shares authorized at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w w:val="93"/>
              </w:rPr>
              <w:t>March 31, 2023 and December 31, 2022; 205,385 shares issued and outstanding at March</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w w:val="95"/>
              </w:rPr>
              <w:t>31, 2023 and December 31, 2022; liquidation value of $3,337,506 at March 31, 2023 and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December 31, 2022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3,272,944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3,272,944</w:t>
            </w:r>
          </w:p>
        </w:tc>
        <w:tc>
          <w:tcPr>
            <w:tcW w:w="100" w:type="dxa"/>
            <w:vAlign w:val="bottom"/>
          </w:tcPr>
          <w:p>
            <w:pPr>
              <w:spacing w:after="0"/>
              <w:rPr>
                <w:sz w:val="20"/>
                <w:szCs w:val="20"/>
                <w:color w:val="auto"/>
              </w:rPr>
            </w:pPr>
          </w:p>
        </w:tc>
      </w:tr>
      <w:tr>
        <w:trPr>
          <w:trHeight w:val="202"/>
        </w:trPr>
        <w:tc>
          <w:tcPr>
            <w:tcW w:w="6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Series A-1 convertible preferred stock; $0.0001 par value; 380,657 shares authorized at</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March 31, 2023 and December 31, 2022; 380,657 shares issued and outstanding at March</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31, 2023 and December 31, 2022; liquidation value of $14,274,638 as of March 31, 2023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2022</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14,100,533</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14,100,533</w:t>
            </w:r>
          </w:p>
        </w:tc>
        <w:tc>
          <w:tcPr>
            <w:tcW w:w="100" w:type="dxa"/>
            <w:vAlign w:val="bottom"/>
            <w:shd w:val="clear" w:color="auto" w:fill="CCEEFF"/>
          </w:tcPr>
          <w:p>
            <w:pPr>
              <w:spacing w:after="0"/>
              <w:rPr>
                <w:sz w:val="20"/>
                <w:szCs w:val="20"/>
                <w:color w:val="auto"/>
              </w:rPr>
            </w:pPr>
          </w:p>
        </w:tc>
      </w:tr>
      <w:tr>
        <w:trPr>
          <w:trHeight w:val="202"/>
        </w:trPr>
        <w:tc>
          <w:tcPr>
            <w:tcW w:w="6980" w:type="dxa"/>
            <w:vAlign w:val="bottom"/>
          </w:tcPr>
          <w:p>
            <w:pPr>
              <w:ind w:left="180"/>
              <w:spacing w:after="0" w:line="201" w:lineRule="exact"/>
              <w:rPr>
                <w:sz w:val="20"/>
                <w:szCs w:val="20"/>
                <w:color w:val="auto"/>
              </w:rPr>
            </w:pPr>
            <w:r>
              <w:rPr>
                <w:rFonts w:ascii="Arial" w:cs="Arial" w:eastAsia="Arial" w:hAnsi="Arial"/>
                <w:sz w:val="18"/>
                <w:szCs w:val="18"/>
                <w:color w:val="auto"/>
                <w:w w:val="99"/>
              </w:rPr>
              <w:t>Series B convertible preferred stock; $0.0001 par value; 851,108 shares authorized at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March 31, 2023 and December 31, 2022; 414,735 and 391,303 shares issued and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w w:val="96"/>
              </w:rPr>
              <w:t>outstanding at March 31, 2023 and December 31, 2022, respectively; liquidation value of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w w:val="94"/>
              </w:rPr>
              <w:t>$18,018,162 and $17,000,159 as of March 31, 2023 and December 31, 2022, respectively</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17,445,824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16,321,065</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Stockholders’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$0.0001 par value; 100,000,000 shares authorized at March 31, 2023 and</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 2022; 1,043,991 shares issued and outstanding at March 31, 2023 and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2022</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1,092,932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1,052,138</w:t>
            </w:r>
          </w:p>
        </w:tc>
        <w:tc>
          <w:tcPr>
            <w:tcW w:w="100" w:type="dxa"/>
            <w:vAlign w:val="bottom"/>
          </w:tcPr>
          <w:p>
            <w:pPr>
              <w:spacing w:after="0"/>
              <w:rPr>
                <w:sz w:val="18"/>
                <w:szCs w:val="18"/>
                <w:color w:val="auto"/>
              </w:rPr>
            </w:pPr>
          </w:p>
        </w:tc>
      </w:tr>
      <w:tr>
        <w:trPr>
          <w:trHeight w:val="24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(39,771,731)</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(37,314,552)</w:t>
            </w:r>
          </w:p>
        </w:tc>
      </w:tr>
      <w:tr>
        <w:trPr>
          <w:trHeight w:val="210"/>
        </w:trPr>
        <w:tc>
          <w:tcPr>
            <w:tcW w:w="6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deficit</w:t>
            </w:r>
          </w:p>
        </w:tc>
        <w:tc>
          <w:tcPr>
            <w:tcW w:w="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(38,678,695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(36,260,310</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43"/>
        </w:trPr>
        <w:tc>
          <w:tcPr>
            <w:tcW w:w="6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20" w:type="dxa"/>
            <w:vAlign w:val="bottom"/>
            <w:gridSpan w:val="2"/>
          </w:tcPr>
          <w:p>
            <w:pPr>
              <w:jc w:val="right"/>
              <w:ind w:right="24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261"/>
              <w:spacing w:after="0"/>
              <w:rPr>
                <w:sz w:val="20"/>
                <w:szCs w:val="20"/>
                <w:color w:val="auto"/>
              </w:rPr>
            </w:pPr>
            <w:r>
              <w:rPr>
                <w:rFonts w:ascii="Arial" w:cs="Arial" w:eastAsia="Arial" w:hAnsi="Arial"/>
                <w:sz w:val="18"/>
                <w:szCs w:val="18"/>
                <w:color w:val="auto"/>
              </w:rPr>
              <w:t>5,655,494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7,167,443</w:t>
            </w:r>
          </w:p>
        </w:tc>
        <w:tc>
          <w:tcPr>
            <w:tcW w:w="10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20" w:type="dxa"/>
            <w:vAlign w:val="bottom"/>
            <w:gridSpan w:val="5"/>
          </w:tcPr>
          <w:p>
            <w:pPr>
              <w:ind w:left="2520"/>
              <w:spacing w:after="0"/>
              <w:rPr>
                <w:sz w:val="20"/>
                <w:szCs w:val="20"/>
                <w:color w:val="auto"/>
              </w:rPr>
            </w:pPr>
            <w:r>
              <w:rPr>
                <w:rFonts w:ascii="Arial" w:cs="Arial" w:eastAsia="Arial" w:hAnsi="Arial"/>
                <w:sz w:val="18"/>
                <w:szCs w:val="18"/>
                <w:i w:val="1"/>
                <w:iCs w:val="1"/>
                <w:color w:val="auto"/>
                <w:w w:val="97"/>
              </w:rPr>
              <w:t>The accompanying notes are an integral part of these condensed financial statements.</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8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F-33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609"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514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 - related party</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Total revenue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113,300</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843,011</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861,308</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830,181</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1,555,368</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1,673,192</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2,416,676</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(1,559,892)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(2,296,676)</w:t>
            </w: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285</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(89,832)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(17,637)</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1,146</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note</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(8,886)</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(12,224)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(897,287)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(29,341)</w:t>
            </w: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(2,457,179)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(2,326,017)</w:t>
            </w: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(2,457,179)</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(2,326,017)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(712,080)</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(692,246)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2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(3,169,259)</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(3,018,263)</w:t>
            </w: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5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1,055,457</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1,055,223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5"/>
              </w:rPr>
              <w:t>Series A</w:t>
            </w:r>
          </w:p>
        </w:tc>
        <w:tc>
          <w:tcPr>
            <w:tcW w:w="100" w:type="dxa"/>
            <w:vAlign w:val="bottom"/>
          </w:tcPr>
          <w:p>
            <w:pPr>
              <w:spacing w:after="0"/>
              <w:rPr>
                <w:sz w:val="18"/>
                <w:szCs w:val="18"/>
                <w:color w:val="auto"/>
              </w:rPr>
            </w:pPr>
          </w:p>
        </w:tc>
        <w:tc>
          <w:tcPr>
            <w:tcW w:w="17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6"/>
              </w:rPr>
              <w:t>Series A-1</w:t>
            </w:r>
          </w:p>
        </w:tc>
        <w:tc>
          <w:tcPr>
            <w:tcW w:w="17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5"/>
              </w:rPr>
              <w:t>Series B</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54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0"/>
              </w:rPr>
              <w:t>Convertible</w:t>
            </w:r>
          </w:p>
        </w:tc>
        <w:tc>
          <w:tcPr>
            <w:tcW w:w="100" w:type="dxa"/>
            <w:vAlign w:val="bottom"/>
          </w:tcPr>
          <w:p>
            <w:pPr>
              <w:spacing w:after="0"/>
              <w:rPr>
                <w:sz w:val="17"/>
                <w:szCs w:val="17"/>
                <w:color w:val="auto"/>
              </w:rPr>
            </w:pPr>
          </w:p>
        </w:tc>
        <w:tc>
          <w:tcPr>
            <w:tcW w:w="1740" w:type="dxa"/>
            <w:vAlign w:val="bottom"/>
            <w:gridSpan w:val="5"/>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Convertible</w:t>
            </w:r>
          </w:p>
        </w:tc>
        <w:tc>
          <w:tcPr>
            <w:tcW w:w="1720" w:type="dxa"/>
            <w:vAlign w:val="bottom"/>
            <w:gridSpan w:val="4"/>
          </w:tcPr>
          <w:p>
            <w:pPr>
              <w:jc w:val="center"/>
              <w:ind w:right="100"/>
              <w:spacing w:after="0" w:line="202" w:lineRule="exact"/>
              <w:rPr>
                <w:sz w:val="20"/>
                <w:szCs w:val="20"/>
                <w:color w:val="auto"/>
              </w:rPr>
            </w:pPr>
            <w:r>
              <w:rPr>
                <w:rFonts w:ascii="Arial" w:cs="Arial" w:eastAsia="Arial" w:hAnsi="Arial"/>
                <w:sz w:val="18"/>
                <w:szCs w:val="18"/>
                <w:b w:val="1"/>
                <w:bCs w:val="1"/>
                <w:color w:val="auto"/>
                <w:w w:val="90"/>
              </w:rPr>
              <w:t>Convertible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22"/>
                <w:szCs w:val="22"/>
                <w:color w:val="auto"/>
              </w:rPr>
            </w:pPr>
          </w:p>
        </w:tc>
        <w:tc>
          <w:tcPr>
            <w:tcW w:w="17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Preferred Stock</w:t>
            </w:r>
          </w:p>
        </w:tc>
        <w:tc>
          <w:tcPr>
            <w:tcW w:w="17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Preferred Stock</w:t>
            </w:r>
          </w:p>
        </w:tc>
        <w:tc>
          <w:tcPr>
            <w:tcW w:w="15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1"/>
              </w:rPr>
              <w:t>Accumulated</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3"/>
              </w:rPr>
              <w:t>Shares</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8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8"/>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88"/>
        </w:trPr>
        <w:tc>
          <w:tcPr>
            <w:tcW w:w="1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w:t>
            </w: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205,385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$3,272,944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380,657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$14,100,533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391,303</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$16,321,065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1,043,103</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(26,634,186)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(25,765,919)</w:t>
            </w:r>
          </w:p>
        </w:tc>
        <w:tc>
          <w:tcPr>
            <w:tcW w:w="0" w:type="dxa"/>
            <w:vAlign w:val="bottom"/>
          </w:tcPr>
          <w:p>
            <w:pPr>
              <w:spacing w:after="0"/>
              <w:rPr>
                <w:sz w:val="1"/>
                <w:szCs w:val="1"/>
                <w:color w:val="auto"/>
              </w:rPr>
            </w:pPr>
          </w:p>
        </w:tc>
      </w:tr>
      <w:tr>
        <w:trPr>
          <w:trHeight w:val="202"/>
        </w:trPr>
        <w:tc>
          <w:tcPr>
            <w:tcW w:w="12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56,983</w:t>
            </w: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w:t>
            </w: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8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(2,326,017)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(2,326,017)</w:t>
            </w: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 March</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31, 2022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205,385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3,272,944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380,657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14,100,533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391,303</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16,321,065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1,043,991</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(28,960,203)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(28,033,443)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205,385</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3,272,944</w:t>
            </w: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380,657</w:t>
            </w: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14,100,533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391,303</w:t>
            </w: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16,321,065</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1,043,991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1,054,138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(37,314,552)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(36,260,310)</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Series B</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Convertible</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23,432</w:t>
            </w: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1,124,759</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1,124,759</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99"/>
              </w:rPr>
              <w:t>Preferred Stock</w:t>
            </w:r>
          </w:p>
        </w:tc>
        <w:tc>
          <w:tcPr>
            <w:tcW w:w="68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38,794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38,794</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68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(2,457,179)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(2,457,179)</w:t>
            </w: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 March</w:t>
            </w: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205,385</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$3,272,944</w:t>
            </w: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380,657</w:t>
            </w:r>
          </w:p>
        </w:tc>
        <w:tc>
          <w:tcPr>
            <w:tcW w:w="10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$14,100,533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414,735</w:t>
            </w: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$17,445,824</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1,043,991</w:t>
            </w: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1,092,932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(39,771,731)</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(38,678,695)</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31, 2023</w:t>
            </w:r>
          </w:p>
        </w:tc>
        <w:tc>
          <w:tcPr>
            <w:tcW w:w="680" w:type="dxa"/>
            <w:vAlign w:val="bottom"/>
            <w:gridSpan w:val="2"/>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6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Azitra,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5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(2,457,179)</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(2,326,017)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to net cash used by operating activities: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32,149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30,539</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right-of-use assets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71,243</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Accrued interest on convertible notes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89,832</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15,669</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38,794</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56,983</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(5,621)</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convertible notes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800,000</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85,431</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(5,200)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116,497</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Tax credits receivable</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(2,690)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204,610</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(224,992)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(69,085)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(61,785)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Contract liabilities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(113,300)</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 activities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(1,209,347)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(2,358,478)</w:t>
            </w:r>
          </w:p>
        </w:tc>
      </w:t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(14,392)</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(29,731)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Capitalization of deferred patent costs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(63,204)</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(67,326)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licenses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(3,858)</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Capitalization of patent and trademark costs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(1,380)</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(82,834)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(93,392)</w:t>
            </w:r>
          </w:p>
        </w:tc>
      </w:t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(367,080)</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(367,080)</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(1,659,261)</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(2,450,360)</w:t>
            </w:r>
          </w:p>
        </w:tc>
      </w:tr>
      <w:tr>
        <w:trPr>
          <w:trHeight w:val="216"/>
        </w:trPr>
        <w:tc>
          <w:tcPr>
            <w:tcW w:w="5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3,492,656</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8,044,262</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1,833,395</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5,593,902</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Obtaining a right-of-use asset in exchange for lease liability</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1,418,502</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to Series B Convertible Preferred Stock</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1,124,759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080D06"/>
        </w:rPr>
        <w:t>1. Organization and Nature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Azitra, Inc. was founded on January 2, 2014. It is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maintains a location in Montreal, Canada for certain research activities. This location and operations completed there remained consistent throughout 2022 and into 2023. The Company also opened a manufacturing and laboratory space in Groton, Connecticut during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Matters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unaudited condensed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three months ended March 31, 2023, the Company has an accumulated deficit of $39.8 million, a loss from operations of $1.6 million and used $1.2 million to fund operations. These factors among others raise substantial doubt about the Company’s ability to continue as a going concern.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plans to continue to raise funds through equity and debt financing to fund operating and working capital needs, however, the Company will require a significant amount of additional funds to complete the development of its product and to fund additional losses which the Company expects to incur over the next few years. The Company is still in their pre-clinical phase and therefore does not yet have product revenue. There can be no assurance that the Company will be successful in securing additional financing, if needed, to meet its operating needs.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and events create an uncertainty about the ability of the Company to continue as a going concern for twelve months from the date that the financial statements are available to be issued. The financial statements do not include any adjustments that might be necessary should the Company be unable to continue as a going concern.</w:t>
      </w:r>
    </w:p>
    <w:p>
      <w:pPr>
        <w:spacing w:after="0" w:line="180" w:lineRule="exact"/>
        <w:rPr>
          <w:sz w:val="20"/>
          <w:szCs w:val="20"/>
          <w:color w:val="auto"/>
        </w:rPr>
      </w:pPr>
    </w:p>
    <w:p>
      <w:pPr>
        <w:ind w:right="7680" w:firstLine="8"/>
        <w:spacing w:after="0" w:line="503" w:lineRule="auto"/>
        <w:tabs>
          <w:tab w:leader="none" w:pos="180" w:val="left"/>
        </w:tabs>
        <w:numPr>
          <w:ilvl w:val="0"/>
          <w:numId w:val="80"/>
        </w:numPr>
        <w:rPr>
          <w:rFonts w:ascii="Arial" w:cs="Arial" w:eastAsia="Arial" w:hAnsi="Arial"/>
          <w:sz w:val="18"/>
          <w:szCs w:val="18"/>
          <w:b w:val="1"/>
          <w:bCs w:val="1"/>
          <w:color w:val="080D06"/>
        </w:rPr>
      </w:pPr>
      <w:r>
        <w:rPr>
          <w:rFonts w:ascii="Arial" w:cs="Arial" w:eastAsia="Arial" w:hAnsi="Arial"/>
          <w:sz w:val="18"/>
          <w:szCs w:val="18"/>
          <w:b w:val="1"/>
          <w:bCs w:val="1"/>
          <w:color w:val="080D06"/>
        </w:rPr>
        <w:t xml:space="preserve">Summary of Significant Accounting Policies </w:t>
      </w:r>
      <w:r>
        <w:rPr>
          <w:rFonts w:ascii="Arial" w:cs="Arial" w:eastAsia="Arial" w:hAnsi="Arial"/>
          <w:sz w:val="18"/>
          <w:szCs w:val="18"/>
          <w:b w:val="1"/>
          <w:bCs w:val="1"/>
          <w:color w:val="000000"/>
        </w:rPr>
        <w:t>Basis of Accounting</w:t>
      </w:r>
    </w:p>
    <w:p>
      <w:pPr>
        <w:spacing w:after="0"/>
        <w:rPr>
          <w:sz w:val="20"/>
          <w:szCs w:val="20"/>
          <w:color w:val="auto"/>
        </w:rPr>
      </w:pPr>
      <w:r>
        <w:rPr>
          <w:rFonts w:ascii="Arial" w:cs="Arial" w:eastAsia="Arial" w:hAnsi="Arial"/>
          <w:sz w:val="17"/>
          <w:szCs w:val="17"/>
          <w:color w:val="auto"/>
        </w:rPr>
        <w:t>The financial statements of the Company are prepared in accordance with United States generally accepted accounting principles (“U.S. GAAP”).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unaudited interim financial statements and related notes have been prepared in accordance with U.S. GAAP for interim financial information, within the rules and regulations of the United States Securities and Exchange Commission (the “SEC”). Certain information and disclosures normally included in the annual financial statements prepared in accordance with U.S.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three-month periods are unaudited. Unaudited interim results are not necessarily indicative of the results for the full fiscal year. These unaudited interim financial statements should be read in conjunction with the financial statements of the Company for the year ended December 31, 2022 and notes thereto that are included in the Company’s Registration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financial statement in conformity with accounting principles generally accepted in the United States of America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the balance sheets and statements of cash flows, the Company considers all cash on hand, demand deposits and all highly liquid investments with original maturities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50A03"/>
        </w:rPr>
        <w:t>Property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050A03"/>
        </w:rPr>
        <w:t xml:space="preserve">Property and equipment are recorded at cost. Depreciation is computed using the straight-line method over the estimated useful lives, which range from 3 to 10 years. </w:t>
      </w:r>
      <w:r>
        <w:rPr>
          <w:rFonts w:ascii="Arial" w:cs="Arial" w:eastAsia="Arial" w:hAnsi="Arial"/>
          <w:sz w:val="17"/>
          <w:szCs w:val="17"/>
          <w:color w:val="000000"/>
        </w:rPr>
        <w:t>Expenditures for maintenance and repairs, which do not extend the economic useful life of the related assets, are charged to operations as</w:t>
      </w:r>
      <w:r>
        <w:rPr>
          <w:rFonts w:ascii="Arial" w:cs="Arial" w:eastAsia="Arial" w:hAnsi="Arial"/>
          <w:sz w:val="17"/>
          <w:szCs w:val="17"/>
          <w:color w:val="050A03"/>
        </w:rPr>
        <w:t xml:space="preserve"> </w:t>
      </w:r>
      <w:r>
        <w:rPr>
          <w:rFonts w:ascii="Arial" w:cs="Arial" w:eastAsia="Arial" w:hAnsi="Arial"/>
          <w:sz w:val="17"/>
          <w:szCs w:val="17"/>
          <w:color w:val="000000"/>
        </w:rPr>
        <w:t>incurred. Gains or losses on disposal of property and equipment are reflected in the statements of operations in the period of disposal.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conditions. There was no allowance for doubtful accounts at March 31, 2023 and December 31, 2022. Accounts receivable are written off when deemed uncollectible. Recoveries of accounts receivable previously written off are recorded when received.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capitalizes deferred offering costs, which primarily consist of direct, incremental legal, professional, accounting, and other third-party fees relating to the Company’s initial public offering. The deferred offering costs will be offset against IPO proceeds upon the consummation of an offering. Should the planned IPO prove to be unsuccessful, these deferred costs, as well as additional expenses to be incurred, will be charged to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Use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2016, the Financial Accounting Standards Board (“FASB”) issued ASU No. 2016-02, Leases (“Topic 842”). ASU 2016-02 requires lessees to present right-of-use (“ROU”) assets and lease liabilities on the balance sheet for all leases with terms longer than 12 months. See Note 2 – Recently Adopted Accounting Pronouncements.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calculating the effect of ASU 2016-02, the Company elected the transition method thereby not restating comparable periods. 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operating leases for buildings. Currently, the Company has 3 operating leases with a ROU asset and lease liability totaling $1,418,502 as of January 1, 2022.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the Company had operating right-of-use assets with a net value of $1,045,454 and current and long-term operating lease liabilities of $292,036 and $767,159,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 accounts for other indefinite life intangible assets in accordance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 No impairment losses relating to intangible assets were recorded during the three months ended March 31, 2023 or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Patent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patent costs represent legal and filing expenses incurred related to the submission of patent applications for patents pending approval. These deferred costs will begin to be amortized over their estimated useful lives upon the formal approval of the patent. If the patent is not approved, the costs associated with the patent will be expensed in the year the patent was rejected. No impairment losses relating to deferred patent costs were recorded in the three months ended March 31, 2023 or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accordance with ASC Topic 360-10,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Warrant Accounting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When the Company issues debt with a conversion feature, it first assesses whether the debt should be accounted for in accordance with ASC 480 – Distinguishing Liabilities from Equity. If the debt does not meet the criteria of an ASC 480 liability, the note’s conversion features require bifurcation in accordance with ASC 815 – Derivatives and Hedging. If the Company determines the embedded conversion feature requires bifurcation in accordance with ASC 815, the Company also considers if it can elect the fair value option. If the fair value option is elected, the Company records the note at its initial fair value with any subsequent changes in fair value recorded in earnings. As noted in Note 7, the Company has elected the fair value option for the 2022 Convertible Notes and will record the notes at their initial fair values with any subsequent changes in fair value recorded in earnings.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Convertible Preferred stockholders have liquidation rights in the event of a deemed liquidation event that, in certain situations, are not solely within the control of the Company and would require the redemption of the then-outstanding Convertible Preferred Stock, the Company classifies the Convertible Preferred Stock in mezzanine equity on the balance sheet. Due to the fact that the occurrence of a deemed liquidation event is not currently probable, the carrying value of the Convertible Preferred Stock is not being accreted to its redemption value. Subsequent adjustments to the carrying value of the Convertible Preferred Stock would be made only when a deemed liquidation event becomes probable.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follows the </w:t>
      </w:r>
      <w:r>
        <w:rPr>
          <w:rFonts w:ascii="Arial" w:cs="Arial" w:eastAsia="Arial" w:hAnsi="Arial"/>
          <w:sz w:val="18"/>
          <w:szCs w:val="18"/>
          <w:i w:val="1"/>
          <w:iCs w:val="1"/>
          <w:color w:val="auto"/>
        </w:rPr>
        <w:t>five</w:t>
      </w:r>
      <w:r>
        <w:rPr>
          <w:rFonts w:ascii="Arial" w:cs="Arial" w:eastAsia="Arial" w:hAnsi="Arial"/>
          <w:sz w:val="18"/>
          <w:szCs w:val="18"/>
          <w:color w:val="auto"/>
        </w:rPr>
        <w:t xml:space="preserve"> steps to recognize revenue from contracts with customers under ASC </w:t>
      </w:r>
      <w:r>
        <w:rPr>
          <w:rFonts w:ascii="Arial" w:cs="Arial" w:eastAsia="Arial" w:hAnsi="Arial"/>
          <w:sz w:val="18"/>
          <w:szCs w:val="18"/>
          <w:i w:val="1"/>
          <w:iCs w:val="1"/>
          <w:color w:val="auto"/>
        </w:rPr>
        <w:t>606,</w:t>
      </w:r>
      <w:r>
        <w:rPr>
          <w:rFonts w:ascii="Arial" w:cs="Arial" w:eastAsia="Arial" w:hAnsi="Arial"/>
          <w:sz w:val="18"/>
          <w:szCs w:val="18"/>
          <w:color w:val="auto"/>
        </w:rPr>
        <w:t xml:space="preserve"> Revenue from Contracts with Customers (“ASC </w:t>
      </w:r>
      <w:r>
        <w:rPr>
          <w:rFonts w:ascii="Arial" w:cs="Arial" w:eastAsia="Arial" w:hAnsi="Arial"/>
          <w:sz w:val="18"/>
          <w:szCs w:val="18"/>
          <w:i w:val="1"/>
          <w:iCs w:val="1"/>
          <w:color w:val="auto"/>
        </w:rPr>
        <w:t>606”</w:t>
      </w:r>
      <w:r>
        <w:rPr>
          <w:rFonts w:ascii="Arial" w:cs="Arial" w:eastAsia="Arial" w:hAnsi="Arial"/>
          <w:sz w:val="18"/>
          <w:szCs w:val="18"/>
          <w:color w:val="auto"/>
        </w:rPr>
        <w:t>), which are:</w:t>
      </w:r>
    </w:p>
    <w:p>
      <w:pPr>
        <w:spacing w:after="0" w:line="170" w:lineRule="exact"/>
        <w:rPr>
          <w:sz w:val="20"/>
          <w:szCs w:val="20"/>
          <w:color w:val="auto"/>
        </w:rPr>
      </w:pPr>
    </w:p>
    <w:p>
      <w:pPr>
        <w:ind w:left="700" w:hanging="368"/>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1:</w:t>
      </w:r>
      <w:r>
        <w:rPr>
          <w:rFonts w:ascii="Arial" w:cs="Arial" w:eastAsia="Arial" w:hAnsi="Arial"/>
          <w:sz w:val="18"/>
          <w:szCs w:val="18"/>
          <w:color w:val="auto"/>
        </w:rPr>
        <w:t xml:space="preserve"> Identify the contract(s) with a customer</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2:</w:t>
      </w:r>
      <w:r>
        <w:rPr>
          <w:rFonts w:ascii="Arial" w:cs="Arial" w:eastAsia="Arial" w:hAnsi="Arial"/>
          <w:sz w:val="18"/>
          <w:szCs w:val="18"/>
          <w:color w:val="auto"/>
        </w:rPr>
        <w:t xml:space="preserve"> Identify the performance obligations in the contract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3:</w:t>
      </w:r>
      <w:r>
        <w:rPr>
          <w:rFonts w:ascii="Arial" w:cs="Arial" w:eastAsia="Arial" w:hAnsi="Arial"/>
          <w:sz w:val="18"/>
          <w:szCs w:val="18"/>
          <w:color w:val="auto"/>
        </w:rPr>
        <w:t xml:space="preserve"> Determine the transaction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4:</w:t>
      </w:r>
      <w:r>
        <w:rPr>
          <w:rFonts w:ascii="Arial" w:cs="Arial" w:eastAsia="Arial" w:hAnsi="Arial"/>
          <w:sz w:val="18"/>
          <w:szCs w:val="18"/>
          <w:color w:val="auto"/>
        </w:rPr>
        <w:t xml:space="preserve"> Allocate the transaction price to the performance obligations in the contract</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Step </w:t>
      </w:r>
      <w:r>
        <w:rPr>
          <w:rFonts w:ascii="Arial" w:cs="Arial" w:eastAsia="Arial" w:hAnsi="Arial"/>
          <w:sz w:val="18"/>
          <w:szCs w:val="18"/>
          <w:i w:val="1"/>
          <w:iCs w:val="1"/>
          <w:color w:val="auto"/>
        </w:rPr>
        <w:t>5:</w:t>
      </w:r>
      <w:r>
        <w:rPr>
          <w:rFonts w:ascii="Arial" w:cs="Arial" w:eastAsia="Arial" w:hAnsi="Arial"/>
          <w:sz w:val="18"/>
          <w:szCs w:val="18"/>
          <w:color w:val="auto"/>
        </w:rPr>
        <w:t xml:space="preserve"> Recognize revenue when (or as) a performance obligation is satisfied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Amounts earned under these grant contracts are recorded as a negative research and development expense when eligible expenses are incurred and the right to payment is realizable or realized and earn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research and development costs in accordance with Accounting Standards Codification (ASC) subtopic 730-10,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r>
        <w:rPr>
          <w:rFonts w:ascii="Arial" w:cs="Arial" w:eastAsia="Arial" w:hAnsi="Arial"/>
          <w:sz w:val="18"/>
          <w:szCs w:val="18"/>
          <w:color w:val="auto"/>
        </w:rPr>
        <w:t>. Accordingly, internal research and development costs are expensed as incurred. Research and development costs consist of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labor, materials and supplies. Research and development costs incurred were $830,181 and $1,555,368 during the three month period ended March 31, 2023 and 2022, respectively.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March 31, 2023 and December 31, 2022, the Company has a state tax credit receivable of $32,459 for pending refunds related to the selling of research and development tax credits back to the State of Connecticut. At March 31, 2023 and December 31, 2022, the Company has $29,009 and $28,925, respectively for pending refunds related to Canadian Scientific Research and Experimental Development (SRED) credits. At March 31, 2023 and December 31, 2022, the Company has also recorded $10,888 and $8,282, respectively, related to refunds of Canadian Goods and Services Tax (GST) and Quebec Sales Tax (QST). Receipts of refunds are recorded in other income on the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stock-based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equity instruments issued to non-employees in accordance with the provisions of ASC 718 as updated by Accounting Standards Update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which expands the scope of ASC 718 to include share based payment transactions to non-employees.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are used in valuing options issued using the Black-Scholes option pricing model: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of the Company’s shares is estimated based on the Company’s external valuation.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options is estimated using the simplified method which is based on the vesting period and contractual term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grant, or for each vesting-tranche for awards with graded vesting.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Underlying Common Stock Value. </w:t>
      </w:r>
      <w:r>
        <w:rPr>
          <w:rFonts w:ascii="Arial" w:cs="Arial" w:eastAsia="Arial" w:hAnsi="Arial"/>
          <w:sz w:val="17"/>
          <w:szCs w:val="17"/>
          <w:color w:val="auto"/>
        </w:rPr>
        <w:t>The underlying common stock value of the Company’s shares is estimated by a third party valuation expert.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bases the risk-free interest rate on the implied yield available on a U.S. Treasury note with terms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underlying grant.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Black-Scholes valuation model calls for a single expected dividend yield as an input. The Company has not paid dividends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the past nor does it expect to pay dividends on Common stock in the near future. As such, the Company uses a dividend yield percentage of zero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070C05"/>
        </w:rPr>
        <w:t>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uses the liability method of accounting for income taxes, as set forth in ASC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the effect of ASC guidance related to uncertain income tax positions and concluded that the Company has no significant financial statement exposure to uncertain income tax positions at March 31, 2023 and December 31, 2022. The Company’s income tax returns have not been examined by tax authorities through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carries certain liabilities at fair value on a recurring basis. A fair value hierarchy that consists of three levels is used to prioritize the inputs to fair value valuation techniques:</w:t>
      </w:r>
    </w:p>
    <w:p>
      <w:pPr>
        <w:spacing w:after="0" w:line="170"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 – Inputs are based upon observable or quoted prices for identical instruments traded in active markets.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This ASU requires a lessee to recognize a right-of-use asset and a lease liability under most operating leases in its balance sheet. The ASU is effective for annual and interim periods beginning after December 15, 2021. The Company adopted ASU 2016-02 on January 1, 2022. See Note 13 – Operating Leases.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This standard simplifies the accounting for income taxes through the removal of various exceptions previously provided, as well as providing additional reporting requirements for income taxes. The ASU is effective for the Company on January 1, 2022. The Company has adopted this standard effective January 1, 2022, which did not have a material impact to the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w:t>
      </w:r>
      <w:r>
        <w:rPr>
          <w:rFonts w:ascii="Arial" w:cs="Arial" w:eastAsia="Arial" w:hAnsi="Arial"/>
          <w:sz w:val="18"/>
          <w:szCs w:val="18"/>
          <w:color w:val="auto"/>
        </w:rPr>
        <w:t>, which simplifies the accounting for certain financial instruments with characteristics of liabilities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including convertible instruments and contracts on an entity’s own equity. This standard will be effective for the Company on January 1, 2024, with early adoption permitted (but no earlier than fiscal years beginning after December 15, 2020). The Company has adopted this standard effective January 1, 2021, which did not have a material impact to the financial statements.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instruments are primarily comprised of accounts receivable, accounts payable, accrued liabilities, and long-term debt. For accounts receivable, accounts payable and accrued liabilities, the carrying amount approximates fair value due to the short term maturities of such instruments. The estimated fair value of the Company’s long-term debt approximates carrying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50B04"/>
        </w:rPr>
        <w:t>3. Employee Retention Credit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50B04"/>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September 30, 2021. Based on these additional provisions, the tax credit is now equal to 70% of qualified wages paid to employees during a quarter, and the limit on qualified wages per employee has been increased to $10,000 of qualified wages per quarter. In April 2022, the Company determined it qualified for the tax credit under the CARES Act and recorded a receivable for $229,813 and recognized the amounts as other income on the statement of operations. The Company received full payment for the amount in September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March 31, 2023 and December 31, 2022:</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2022</w:t>
            </w:r>
          </w:p>
        </w:tc>
      </w:tr>
      <w:tr>
        <w:trPr>
          <w:trHeight w:val="21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1,049,152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30,825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30,825</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24,316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24,316</w:t>
            </w: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28,855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28,855</w:t>
            </w:r>
          </w:p>
        </w:tc>
      </w:tr>
      <w:tr>
        <w:trPr>
          <w:trHeight w:val="24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equipment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14,932</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14,932</w:t>
            </w:r>
          </w:p>
        </w:tc>
      </w:tr>
      <w:tr>
        <w:trPr>
          <w:trHeight w:val="203"/>
        </w:trPr>
        <w:tc>
          <w:tcPr>
            <w:tcW w:w="48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1,148,080</w:t>
            </w: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1,133,507</w:t>
            </w:r>
          </w:p>
        </w:tc>
        <w:tc>
          <w:tcPr>
            <w:tcW w:w="100" w:type="dxa"/>
            <w:vAlign w:val="bottom"/>
            <w:tcBorders>
              <w:top w:val="single" w:sz="8" w:color="CCEEFF"/>
            </w:tcBorders>
          </w:tcPr>
          <w:p>
            <w:pPr>
              <w:spacing w:after="0"/>
              <w:rPr>
                <w:sz w:val="17"/>
                <w:szCs w:val="17"/>
                <w:color w:val="auto"/>
              </w:rPr>
            </w:pPr>
          </w:p>
        </w:tc>
      </w:tr>
      <w:tr>
        <w:trPr>
          <w:trHeight w:val="24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(317,282)</w:t>
            </w:r>
          </w:p>
        </w:tc>
        <w:tc>
          <w:tcPr>
            <w:tcW w:w="1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(286,549)</w:t>
            </w:r>
          </w:p>
        </w:tc>
      </w:tr>
      <w:tr>
        <w:trPr>
          <w:trHeight w:val="217"/>
        </w:trPr>
        <w:tc>
          <w:tcPr>
            <w:tcW w:w="48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830,798</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846,958</w:t>
            </w:r>
          </w:p>
        </w:tc>
        <w:tc>
          <w:tcPr>
            <w:tcW w:w="10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$30,552 and $29,809 for the three months ended March 31,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5. Intangible Assets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 at:</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March 31, 2023</w:t>
            </w:r>
            <w:r>
              <w:rPr>
                <w:rFonts w:ascii="Arial" w:cs="Arial" w:eastAsia="Arial" w:hAnsi="Arial"/>
                <w:sz w:val="18"/>
                <w:szCs w:val="18"/>
                <w:b w:val="1"/>
                <w:bCs w:val="1"/>
                <w:color w:val="auto"/>
              </w:rPr>
              <w:t>:</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Useful Life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Amount</w:t>
            </w: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54,776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Patents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17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108,801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9,737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99,064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License agreement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 years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69,368</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69,368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232,945</w:t>
            </w: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9,737</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223,208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December 31, 2022:</w:t>
            </w: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Useful Life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Amount</w:t>
            </w: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Patents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17 years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108,198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8,140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License agreement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 years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65,510</w:t>
            </w: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Intangible Assets</w:t>
            </w:r>
          </w:p>
        </w:tc>
        <w:tc>
          <w:tcPr>
            <w:tcW w:w="13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227,707</w:t>
            </w:r>
          </w:p>
        </w:tc>
        <w:tc>
          <w:tcPr>
            <w:tcW w:w="2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8,140</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219,567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2023 and 2022, amortization expense related to intangible assets was $1,597 and $730,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050B04"/>
              </w:rPr>
              <w:t>6. Accrued Expenses</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at:</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1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Pr>
          <w:p>
            <w:pPr>
              <w:spacing w:after="0"/>
              <w:rPr>
                <w:sz w:val="24"/>
                <w:szCs w:val="24"/>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2022</w:t>
            </w:r>
          </w:p>
        </w:tc>
      </w:tr>
      <w:tr>
        <w:trPr>
          <w:trHeight w:val="216"/>
        </w:trPr>
        <w:tc>
          <w:tcPr>
            <w:tcW w:w="11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payroll and bonuses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425,528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Vacation</w:t>
            </w:r>
          </w:p>
        </w:tc>
        <w:tc>
          <w:tcPr>
            <w:tcW w:w="22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43,353</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27,082</w:t>
            </w:r>
          </w:p>
        </w:tc>
      </w:tr>
      <w:tr>
        <w:trPr>
          <w:trHeight w:val="202"/>
        </w:trPr>
        <w:tc>
          <w:tcPr>
            <w:tcW w:w="1120" w:type="dxa"/>
            <w:vAlign w:val="bottom"/>
          </w:tcPr>
          <w:p>
            <w:pPr>
              <w:spacing w:after="0"/>
              <w:rPr>
                <w:sz w:val="17"/>
                <w:szCs w:val="17"/>
                <w:color w:val="auto"/>
              </w:rPr>
            </w:pPr>
          </w:p>
        </w:tc>
        <w:tc>
          <w:tcPr>
            <w:tcW w:w="4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projects</w:t>
            </w:r>
          </w:p>
        </w:tc>
        <w:tc>
          <w:tcPr>
            <w:tcW w:w="2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292,529</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316,389</w:t>
            </w:r>
          </w:p>
        </w:tc>
      </w:tr>
      <w:tr>
        <w:trPr>
          <w:trHeight w:val="216"/>
        </w:trPr>
        <w:tc>
          <w:tcPr>
            <w:tcW w:w="112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188,865</w:t>
            </w:r>
          </w:p>
        </w:tc>
        <w:tc>
          <w:tcPr>
            <w:tcW w:w="16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223,792</w:t>
            </w:r>
          </w:p>
        </w:tc>
      </w:tr>
      <w:tr>
        <w:trPr>
          <w:trHeight w:val="216"/>
        </w:trPr>
        <w:tc>
          <w:tcPr>
            <w:tcW w:w="1120" w:type="dxa"/>
            <w:vAlign w:val="bottom"/>
          </w:tcPr>
          <w:p>
            <w:pPr>
              <w:spacing w:after="0"/>
              <w:rPr>
                <w:sz w:val="18"/>
                <w:szCs w:val="18"/>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13,082</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24,502</w:t>
            </w:r>
          </w:p>
        </w:tc>
      </w:tr>
      <w:tr>
        <w:trPr>
          <w:trHeight w:val="237"/>
        </w:trPr>
        <w:tc>
          <w:tcPr>
            <w:tcW w:w="11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2,104</w:t>
            </w:r>
          </w:p>
        </w:tc>
        <w:tc>
          <w:tcPr>
            <w:tcW w:w="16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31,186</w:t>
            </w:r>
          </w:p>
        </w:tc>
      </w:tr>
      <w:tr>
        <w:trPr>
          <w:trHeight w:val="229"/>
        </w:trPr>
        <w:tc>
          <w:tcPr>
            <w:tcW w:w="112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965,461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b w:val="1"/>
          <w:bCs w:val="1"/>
          <w:color w:val="050B04"/>
        </w:rPr>
        <w:t>. Convertible Debt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050B04"/>
        </w:rPr>
        <w:t>In September 2022, the Company entered into a Convertible Note Purchase Agreement (the Agreement) to issue up to $4,500,000 convertible promissory notes. On the same day, the Company entered into convertible promissory notes (2022 Convertible Notes) with three investors totaling $4,350,000. The 2022 Convertible Notes mature on January 13, 2023 or the occurrence of an Event of Default (as defined) and bear interest at a rate of 8% per annum which shall accrue but is not due and payable until conversion or full repayment of outstanding principal. The principal and interest outstanding under the 2022 Convertible Notes is automatically converted a) upon the closing of a Qualified Financing resulting in gross proceeds to the Company of at least $20 million into securities issued in connection with the Qualified Financing, at a discount of 30% per share; b) upon the closing of a Change of Control event into shares of capital stock of the Company or Series B preferred stock; and c) upon the closing of a Public Company Event, into shares of capital stock being issued to investors equal to two-times (2x) the amount of the outstanding principal and accrued interest then outstanding divided by the public offering price per share. The principal and interest outstanding under the 2022 Convertible Notes is convertible, at the option of the holders, at the maturity date into a new class of Company’s Preferred Stock (Series C Preferred) equal to the quotient of the outstanding principal amount plus interest divided by the Capped Price, which is defined as the price per share equal to the Valuation Cap of $30 million divided by the Company Capitalization, as defined in the Agreement.</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2022 Convertible Notes were amended to extend the maturity date to March 31, 2023 and to change the conversion price upon a Qualified Financing or Change in Control event to $30 million divided by the number of shares of the Company’s common stock issued and outstanding, on a fully diluted basis, immediately prior to the close of the Qualified Financing or Change in Control event.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2022 Convertible Notes under ASC 815. Under 815-15-25, the election can be at the inception of a financial instrument to account for the instrument under the fair value option under ASC 825. The Company has made such election for the 2022 Convertible Notes. Using the fair value option, the convertible promissory note is to be recorded at its initial fair value on the date of issuance, and each balance sheet date thereafter. The Company evaluates the change based on the conversion price at the current market value. When recognized, changes in the estimated fair value of the notes are recognized as a non-cash gain or loss in Other Income (Expense) on the statements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jc w:val="both"/>
        <w:spacing w:after="0" w:line="254" w:lineRule="auto"/>
        <w:rPr>
          <w:sz w:val="20"/>
          <w:szCs w:val="20"/>
          <w:color w:val="auto"/>
        </w:rPr>
      </w:pPr>
      <w:r>
        <w:rPr>
          <w:rFonts w:ascii="Arial" w:cs="Arial" w:eastAsia="Arial" w:hAnsi="Arial"/>
          <w:sz w:val="18"/>
          <w:szCs w:val="18"/>
          <w:color w:val="auto"/>
        </w:rPr>
        <w:t>Effective January 5, 2021, the Company entered into a Note Purchase Agreement to issue up to $2,000,000 of convertible promissory notes. On the same date, the Company entered into a convertible promissory note (2021 Convertible Note) with one investor for $1,000,000. The 2021 Convertible Note bears interest at a rate of 6% per annum and is due and payable in full on January 5, 2023. The 2021 Convertible Note automatically converts upon a qualified equity financing, as defined in the note agreement to the number of shares equal to all principal and accrued interest divided by the conversion price of $48.00, which is subject to adjustment as defined in the note agreement. The 2021 Convertible Note is also optionally convertible as defined in the note agreement for certain non-qualified financing, a change in control, or upon the maturity date of the 2021 Convertible Note. The Company incurred issuance costs of $15,613 related to the 2021 Convertible Note, which has been recorded as a debt discount and will be amortized over the term of the 2021 Convertible Note.</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2023, the Company elected to convert the 2021 Convertible Note, including interest accrued but not yet paid of $124,759 at a conversion price of $48.00 into 23,432 shares of its Series B Preferred Stock in accordance with the terms outlined in the Note Purchase Agreement.</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evaluated the terms and conditions of the Note Purchase Agreement related to the 2021 Convertible Note in order to assess the accounting considerations under ASC 480 – Distinguishing Liabilities from Equity, and ASC 815 – Derivatives and Hedging. The Company determined the Convertible Note does not meet any of the criteria to be accounted pursuant to an ASC 480 liability. The Company also assessed the embedded features pursuant to the guidance in ASC 815 and determined the embedded features do not meet any of the criteria for bifurcation.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payable consisted of the following at:</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2022</w:t>
            </w:r>
          </w:p>
        </w:tc>
      </w:tr>
      <w:tr>
        <w:trPr>
          <w:trHeight w:val="216"/>
        </w:trPr>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2021</w:t>
            </w:r>
          </w:p>
        </w:tc>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2022</w:t>
            </w:r>
          </w:p>
        </w:tc>
        <w:tc>
          <w:tcPr>
            <w:tcW w:w="29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6,400,000</w:t>
            </w:r>
          </w:p>
        </w:tc>
        <w:tc>
          <w:tcPr>
            <w:tcW w:w="16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5,600,000</w:t>
            </w:r>
          </w:p>
        </w:tc>
      </w:tr>
      <w:tr>
        <w:trPr>
          <w:trHeight w:val="229"/>
        </w:trPr>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$0 and $1,968 amortized related to the debt issuance costs during the three months ended March 31, 2023 and 2022, respectively. Interest accrued on the convertible notes was $188,865 and $223,792 at March 31, 2023 and December 31, 2022, respectively.</w:t>
      </w:r>
    </w:p>
    <w:p>
      <w:pPr>
        <w:spacing w:after="0" w:line="166" w:lineRule="exact"/>
        <w:rPr>
          <w:sz w:val="20"/>
          <w:szCs w:val="20"/>
          <w:color w:val="auto"/>
        </w:rPr>
      </w:pPr>
    </w:p>
    <w:p>
      <w:pPr>
        <w:ind w:right="9440" w:firstLine="8"/>
        <w:spacing w:after="0" w:line="566" w:lineRule="auto"/>
        <w:tabs>
          <w:tab w:leader="none" w:pos="18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342" w:lineRule="auto"/>
        <w:rPr>
          <w:sz w:val="20"/>
          <w:szCs w:val="20"/>
          <w:color w:val="auto"/>
        </w:rPr>
      </w:pPr>
      <w:r>
        <w:rPr>
          <w:rFonts w:ascii="Arial" w:cs="Arial" w:eastAsia="Arial" w:hAnsi="Arial"/>
          <w:sz w:val="16"/>
          <w:szCs w:val="16"/>
          <w:color w:val="auto"/>
        </w:rPr>
        <w:t>At March 31, 2023 and December 31, 2022, per the Company’s amended and restated Certificate of Incorporation, the Company was authorized to issue 100,000,000 shares of $0.0001 par value common stock. Refer to Note 17, Subsequent Events for more information related to the Forward-Stock Split.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1,043,991 shares of common stock issued and outstanding as of March 31, 2023 and December 31,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and the holders of the Common Stock are entitled to elect one director of the Corporation.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currently has 8,671,045 shares of common stock reserved for future issuance for the potential conversion of the outstanding Preferred Stock and the exercise of stock options and warrants outstanding at March 31,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and December 31, 2022, per the Company’s amended and restated Certificate of Incorporation, the Company has authorized 1,437,150 shares of $0.0001 par value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2023, the Company issued 23,432 shares of its Series B Preferred Stock related to conversion of the 2021 Convertible Note at a conversion price of $48.00 per share (see Note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Series A, Series A-1, and Series B Preferred Stock have the following rights, preferences and privileges: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preferred stock is convertible, at the option of the holder, into common shares based upon a predefined formula. A holder of preferred stock may convert such shares into common shares at any time. For purpose of conversion, the initial conversion price is $2.2887 per share (original issue price) for Series A Preferred Stock, $5.2817 per share (original issue price) for Series A-1 Preferred Stock, and $6.1190 per share (original issue price) for Series B Preferred Stock, and is subject to adjustment as described in the Certificate of Incorporation. Preferred stock will automatically convert into common shares upon the earlier of (a) an initial public offering with gross proceeds in excess of $100,000,000 or (b) the date and time, or the occurrence of an event, specified by vote or written consent of the required preferred stock shareholders, all outstanding Series A, Series A-1, and Series B Preferred Stock shall automatically convert into common shares, at the then effective conversion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holders of the Series A, Series A-1, and Series B Preferred Stock are entitled to vote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The holders of the Series A and Series A-1 Preferred Stock are each entitled to elect one director of the Corporation. The holders of the Series B Stock are entitled to elect two members of the Board. Each class of preferred stock can remove from office such directors and to fill any vacancy caused by the resignation, death or removal of such directors under certain circumstances as described in the Certificate of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Series A Preferred Stock are entitled to receive dividends at a rate of 8% per annum of the Series A original issue price of $2.2887 per share on each outstanding share of Series A Preferred Stock (subject to appropriate adjustment in the event of any stock dividend, stock split, combination or other similar recapitalization with respect to the Series A Preferred Stock). Dividends accumulate from the original date of issuance of the Series A Preferred Stock, are cumulative and are payable upon declaration of the Board of Directors or liquidation of the Company. At March 31, 2023, cumulative dividends on Series A Preferred Stock were $1,608,325.</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holders of Series A-1 Stock are entitled to receive dividends at a rate of 8% per annum of the Series A-1 original issue price of $5.2817 per share on each outstanding share of Series A-1 (subject to appropriate adjustment in the event of any stock dividend, stock split, combination or other similar recapitalization with respect to the Series A-1 Preferred Stock). Dividends are cumulative and are payable upon declaration of the Board of Directors or liquidation of the Company. At March 31, 2023, cumulative dividends on Series A-1 Preferred Stock were $4,617,646.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Series B Stock are entitled to receive dividends at a rate of 8% per annum of the Series B original issue price of $6.1190 per share on each outstanding share of Series B (subject to appropriate adjustment in the event of any stock dividend, stock split, combination or other similar recapitalization with respect to the Series B Preferred Stock). Dividends are cumulative and are payable upon declaration of the Board of Directors or liquidation of the Company. At March 31, 2023, cumulative dividends on Series B Preferred Stock were $3,608,757.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any liquidation, dissolution or winding up of the Company, the holders of the preferred stock are entitled to receive, prior to and in preference to the holders of the common shares, an amount equal to the Series A, Series A-1, or Series B Preferred Stock original issue price, plus declared and/or accrued but unpaid dividends. In the event of any such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into Common Stock pursuant to the terms of the Certificate of Incorporation immediately prior to such liquidation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050B04"/>
        </w:rPr>
        <w:t xml:space="preserve">The Company issued warrants to purchase 47,889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 Distinguishing Liabilities from Equity. These warrants have an exercise price of $0.48 per share a term of 10 years. The warrants are marked to market each reporting period. The fair value is $64,662 and $70,283 at March 31, 2023 and December 31, 2022, respectively. At March 31, 2023, the Company estimated the fair value of the warrants </w:t>
      </w:r>
      <w:r>
        <w:rPr>
          <w:rFonts w:ascii="Arial" w:cs="Arial" w:eastAsia="Arial" w:hAnsi="Arial"/>
          <w:sz w:val="17"/>
          <w:szCs w:val="17"/>
          <w:color w:val="000000"/>
        </w:rPr>
        <w:t>using the Black-Scholes</w:t>
      </w:r>
      <w:r>
        <w:rPr>
          <w:rFonts w:ascii="Arial" w:cs="Arial" w:eastAsia="Arial" w:hAnsi="Arial"/>
          <w:sz w:val="17"/>
          <w:szCs w:val="17"/>
          <w:color w:val="050B04"/>
        </w:rPr>
        <w:t xml:space="preserve"> </w:t>
      </w:r>
      <w:r>
        <w:rPr>
          <w:rFonts w:ascii="Arial" w:cs="Arial" w:eastAsia="Arial" w:hAnsi="Arial"/>
          <w:sz w:val="17"/>
          <w:szCs w:val="17"/>
          <w:color w:val="000000"/>
        </w:rPr>
        <w:t xml:space="preserve">option pricing model with the following assumptions: Underlying common stock value of $78.38; Expected term of 5.04 years; Expected Volatility of 95.0%; Risk Free Interest Rate of 3.01%; and Dividend Yield of 0%. </w:t>
      </w:r>
      <w:r>
        <w:rPr>
          <w:rFonts w:ascii="Arial" w:cs="Arial" w:eastAsia="Arial" w:hAnsi="Arial"/>
          <w:sz w:val="17"/>
          <w:szCs w:val="17"/>
          <w:color w:val="050B04"/>
        </w:rPr>
        <w:t>At December 31, 2022, the Company estimated the fair value of the warrants</w:t>
      </w:r>
      <w:r>
        <w:rPr>
          <w:rFonts w:ascii="Arial" w:cs="Arial" w:eastAsia="Arial" w:hAnsi="Arial"/>
          <w:sz w:val="17"/>
          <w:szCs w:val="17"/>
          <w:color w:val="000000"/>
        </w:rPr>
        <w:t xml:space="preserve"> using the Black-Scholes option pricing model with the following assumptions: Underlying common stock value of $1.70; Expected term of 5 years; Expected Volatility of 86.0%; Risk Free Interest Rate of 3.01%; and Dividend Yield of 0%.</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issued warrants in 2016 and 2019 which did not meet the criteria under ASC 480 to be classified as a liability, and instead meet equity classification criteria.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b w:val="1"/>
                <w:bCs w:val="1"/>
                <w:color w:val="auto"/>
                <w:w w:val="97"/>
              </w:rPr>
              <w:t>Warrants Outstanding</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Warrants Exercisable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Warrants at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 at</w:t>
            </w:r>
          </w:p>
        </w:tc>
        <w:tc>
          <w:tcPr>
            <w:tcW w:w="2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Year Granted</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3/31/2023</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Contractual Life</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2"/>
              </w:rPr>
              <w:t>3/31/2023</w:t>
            </w:r>
          </w:p>
        </w:tc>
        <w:tc>
          <w:tcPr>
            <w:tcW w:w="2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Contractual Life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r>
      <w:tr>
        <w:trPr>
          <w:trHeight w:val="216"/>
        </w:trPr>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 years</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3.5 years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47,889</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5.0 years</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47,889</w:t>
            </w: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5.0 years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r>
      <w:tr>
        <w:trPr>
          <w:trHeight w:val="250"/>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215,854</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 years</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215,854</w:t>
            </w: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2.9 years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1"/>
                <w:szCs w:val="21"/>
                <w:color w:val="auto"/>
              </w:rPr>
            </w:pPr>
          </w:p>
        </w:tc>
      </w:tr>
      <w:tr>
        <w:trPr>
          <w:trHeight w:val="230"/>
        </w:trPr>
        <w:tc>
          <w:tcPr>
            <w:tcW w:w="15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275,210</w:t>
            </w:r>
          </w:p>
        </w:tc>
        <w:tc>
          <w:tcPr>
            <w:tcW w:w="220" w:type="dxa"/>
            <w:vAlign w:val="bottom"/>
            <w:tcBorders>
              <w:top w:val="single" w:sz="8" w:color="CCEEFF"/>
            </w:tcBorders>
          </w:tcPr>
          <w:p>
            <w:pPr>
              <w:spacing w:after="0"/>
              <w:rPr>
                <w:sz w:val="20"/>
                <w:szCs w:val="20"/>
                <w:color w:val="auto"/>
              </w:rPr>
            </w:pPr>
          </w:p>
        </w:tc>
        <w:tc>
          <w:tcPr>
            <w:tcW w:w="1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top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275,210</w:t>
            </w:r>
          </w:p>
        </w:tc>
        <w:tc>
          <w:tcPr>
            <w:tcW w:w="220" w:type="dxa"/>
            <w:vAlign w:val="bottom"/>
            <w:tcBorders>
              <w:top w:val="single" w:sz="8" w:color="CCEEFF"/>
            </w:tcBorders>
          </w:tcPr>
          <w:p>
            <w:pPr>
              <w:spacing w:after="0"/>
              <w:rPr>
                <w:sz w:val="20"/>
                <w:szCs w:val="20"/>
                <w:color w:val="auto"/>
              </w:rPr>
            </w:pPr>
          </w:p>
        </w:tc>
        <w:tc>
          <w:tcPr>
            <w:tcW w:w="13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tcPr>
          <w:p>
            <w:pPr>
              <w:spacing w:after="0"/>
              <w:rPr>
                <w:sz w:val="20"/>
                <w:szCs w:val="20"/>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2023, the Company’s Board of Directors and stockholders approved the 2023 Stock Incentive Plan (“2023 Plan”); however, no grants shall be made until the date which the proposed forward stock split and increase in the authorized shares of common stock becomes effective which is expected to occur upon the effectiveness of our registration statement of which this prospectus forms a part. The 2023 Plan allows the Committee to grant up to 2,000,000 shares of Common Stock in the form of incentive and non-statutory stock options, restricted stock awards, restricted stock units, and other stock-based awards to employees, directors, and non-employees. As of March 31, 2023, there were no awards issued under the 2023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4" w:name="page175"/>
    <w:bookmarkEnd w:id="174"/>
    <w:p>
      <w:pPr>
        <w:jc w:val="both"/>
        <w:spacing w:after="0" w:line="263" w:lineRule="auto"/>
        <w:rPr>
          <w:sz w:val="20"/>
          <w:szCs w:val="20"/>
          <w:color w:val="auto"/>
        </w:rPr>
      </w:pPr>
      <w:r>
        <w:rPr>
          <w:rFonts w:ascii="Arial" w:cs="Arial" w:eastAsia="Arial" w:hAnsi="Arial"/>
          <w:sz w:val="18"/>
          <w:szCs w:val="18"/>
          <w:color w:val="auto"/>
        </w:rPr>
        <w:t>During 2016, the Company established the Azitra, Inc. 2016 Stock Incentive Plan (the Plan) which provides for the granting of stock options and restricted shares to the Company’s employees, officers, directors, advisors and consultants. There were 1,490,595 shares available for granting under the Plan at December 31, 2022. Options vest over varying time frames.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March 31, 2023 and 2022, the Company did not grant any stock options to acquire shares of common stock. During the three months ended March 31, 2023 and 2022, the Company recognized stock compensation expense of $38,974 and $56,983, respectively, relating to the issuance of service-based stock options. At March 31, 2023, there was $388,990 of unamortized compensation expense that will be amortized over the remaining vesting period. At March 31, 2023 and 2022, there were 13,120 performance-based options outstanding with a fair value of $109,551. During the three months ended March 31, 2023 and 2022, the Company did not recognize any compensation expense for performance-based options. The Company determined the options qualified as plain vanilla under the provisions of SAB 107 and the simplified method was used to estimate the expected option life.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and exercisable at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4"/>
              </w:rPr>
              <w:t>Options Outstanding</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Options Exercisable</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Options at</w:t>
            </w: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Options at</w:t>
            </w:r>
          </w:p>
        </w:tc>
        <w:tc>
          <w:tcPr>
            <w:tcW w:w="24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3/31/2023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Price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3/31/2023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8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r>
      <w:tr>
        <w:trPr>
          <w:trHeight w:val="216"/>
        </w:trPr>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246,136</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2.8 years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246,136</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2.8 years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0.93</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231,680</w:t>
            </w: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2.8 years</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0.93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231,680</w:t>
            </w:r>
          </w:p>
        </w:tc>
        <w:tc>
          <w:tcPr>
            <w:tcW w:w="2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2.8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8"/>
                <w:szCs w:val="18"/>
                <w:color w:val="auto"/>
              </w:rPr>
            </w:pPr>
          </w:p>
        </w:tc>
      </w:tr>
      <w:tr>
        <w:trPr>
          <w:trHeight w:val="249"/>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812,502</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8.0 years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411,707</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7.8 years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r>
      <w:tr>
        <w:trPr>
          <w:trHeight w:val="217"/>
        </w:trPr>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1,290,318</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889,523</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exercised, or forfeited during the three months ended March 31,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157,989 shares available for future grant under the Plan at March 31,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fair values and levels within the fair value hierarchy in which the fair value measurements fall for assets and liabilities measured on a recurring basis as 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Arial" w:cs="Arial" w:eastAsia="Arial" w:hAnsi="Arial"/>
                <w:sz w:val="18"/>
                <w:szCs w:val="18"/>
                <w:b w:val="1"/>
                <w:bCs w:val="1"/>
                <w:i w:val="1"/>
                <w:iCs w:val="1"/>
                <w:color w:val="auto"/>
              </w:rPr>
              <w:t>March 31, 2023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b w:val="1"/>
                <w:bCs w:val="1"/>
                <w:color w:val="auto"/>
              </w:rPr>
              <w:t>Common stock warrants</w:t>
            </w:r>
          </w:p>
        </w:tc>
        <w:tc>
          <w:tcPr>
            <w:tcW w:w="1300" w:type="dxa"/>
            <w:vAlign w:val="bottom"/>
            <w:gridSpan w:val="2"/>
          </w:tcPr>
          <w:p>
            <w:pPr>
              <w:jc w:val="right"/>
              <w:ind w:right="918"/>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20" w:type="dxa"/>
            <w:vAlign w:val="bottom"/>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64,662</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 Convertible Notes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6,400,000</w:t>
            </w: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8"/>
                <w:szCs w:val="8"/>
                <w:b w:val="1"/>
                <w:bCs w:val="1"/>
                <w:color w:val="auto"/>
                <w:w w:val="73"/>
              </w:rPr>
              <w:t>-</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6,464,662</w:t>
            </w: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6,464,662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December 31, 2022</w:t>
            </w: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Common stock warrants</w:t>
            </w:r>
          </w:p>
        </w:tc>
        <w:tc>
          <w:tcPr>
            <w:tcW w:w="1300" w:type="dxa"/>
            <w:vAlign w:val="bottom"/>
            <w:gridSpan w:val="2"/>
          </w:tcPr>
          <w:p>
            <w:pPr>
              <w:jc w:val="right"/>
              <w:ind w:right="918"/>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70,283</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Convertible Notes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5,600,000</w:t>
            </w: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5,670,283</w:t>
            </w: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5,670,283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F-48</w:t>
            </w: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The following table presents the changes in Level 3 instruments measured on a recurring basis for the period ended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5,670,283</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b w:val="1"/>
                <w:bCs w:val="1"/>
                <w:color w:val="auto"/>
              </w:rPr>
              <w:t>Change in fair value of warrants</w:t>
            </w:r>
          </w:p>
        </w:tc>
        <w:tc>
          <w:tcPr>
            <w:tcW w:w="6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(5,621)</w:t>
            </w:r>
          </w:p>
        </w:tc>
      </w:tr>
      <w:tr>
        <w:trPr>
          <w:trHeight w:val="249"/>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Change in fair value of 2022 Convertible Notes</w:t>
            </w:r>
          </w:p>
        </w:tc>
        <w:tc>
          <w:tcPr>
            <w:tcW w:w="6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7"/>
        </w:trPr>
        <w:tc>
          <w:tcPr>
            <w:tcW w:w="9220" w:type="dxa"/>
            <w:vAlign w:val="bottom"/>
          </w:tcPr>
          <w:p>
            <w:pPr>
              <w:spacing w:after="0"/>
              <w:rPr>
                <w:sz w:val="20"/>
                <w:szCs w:val="20"/>
                <w:color w:val="auto"/>
              </w:rPr>
            </w:pPr>
            <w:r>
              <w:rPr>
                <w:rFonts w:ascii="Arial" w:cs="Arial" w:eastAsia="Arial" w:hAnsi="Arial"/>
                <w:sz w:val="18"/>
                <w:szCs w:val="18"/>
                <w:b w:val="1"/>
                <w:bCs w:val="1"/>
                <w:color w:val="auto"/>
              </w:rPr>
              <w:t>Balance at March 31, 2023</w:t>
            </w: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6,464,662</w:t>
            </w:r>
          </w:p>
        </w:tc>
        <w:tc>
          <w:tcPr>
            <w:tcW w:w="10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Fluctuation in the fair value of the Company’s Common stock is the primary driver for the change in the Common Stock Warrant liability valuation during each year. As the fair value of the Common stock increases the value to the holder of the instrument generally increases.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Fluctuations in the various inputs, including the enterprise value, time to liquidity, volatility, and discount rate are the primary drivers for the changes in valuation of the 2022 Convertible Notes each reporting period. As the fair value of the enterprise value, estimated time to liquidity, volatility, and discount rate increase, the value to the holder of the 2022 Convertible Notes generally increases.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12. Net Loss Per Share</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rPr>
              <w:t>Basic and diluted net loss per share were calculated as follows: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rPr>
              <w:t>The numerator for basic and diluted net loss per share is as follows: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6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7"/>
        </w:trPr>
        <w:tc>
          <w:tcPr>
            <w:tcW w:w="59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2,457,179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2,326,017</w:t>
            </w:r>
          </w:p>
        </w:tc>
        <w:tc>
          <w:tcPr>
            <w:tcW w:w="100" w:type="dxa"/>
            <w:vAlign w:val="bottom"/>
            <w:shd w:val="clear" w:color="auto" w:fill="CCEEFF"/>
          </w:tcPr>
          <w:p>
            <w:pPr>
              <w:spacing w:after="0"/>
              <w:rPr>
                <w:sz w:val="18"/>
                <w:szCs w:val="18"/>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712,080</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692,246</w:t>
            </w:r>
          </w:p>
        </w:tc>
        <w:tc>
          <w:tcPr>
            <w:tcW w:w="100" w:type="dxa"/>
            <w:vAlign w:val="bottom"/>
          </w:tcPr>
          <w:p>
            <w:pPr>
              <w:spacing w:after="0"/>
              <w:rPr>
                <w:sz w:val="20"/>
                <w:szCs w:val="20"/>
                <w:color w:val="auto"/>
              </w:rPr>
            </w:pPr>
          </w:p>
        </w:tc>
      </w:tr>
      <w:tr>
        <w:trPr>
          <w:trHeight w:val="216"/>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0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3,169,259</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rPr>
              <w:t>The denominator is as follows: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6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7"/>
        </w:trPr>
        <w:tc>
          <w:tcPr>
            <w:tcW w:w="59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188"/>
        </w:trPr>
        <w:tc>
          <w:tcPr>
            <w:tcW w:w="5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stock outstanding, basic and</w:t>
            </w:r>
          </w:p>
        </w:tc>
        <w:tc>
          <w:tcPr>
            <w:tcW w:w="10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1,043,990</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1,043,756</w:t>
            </w:r>
          </w:p>
        </w:tc>
        <w:tc>
          <w:tcPr>
            <w:tcW w:w="100" w:type="dxa"/>
            <w:vAlign w:val="bottom"/>
            <w:shd w:val="clear" w:color="auto" w:fill="CCEEFF"/>
          </w:tcPr>
          <w:p>
            <w:pPr>
              <w:spacing w:after="0"/>
              <w:rPr>
                <w:sz w:val="20"/>
                <w:szCs w:val="20"/>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$0.01 warrants</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11,467</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0"/>
                <w:szCs w:val="20"/>
                <w:color w:val="auto"/>
              </w:rPr>
            </w:pPr>
          </w:p>
        </w:tc>
      </w:tr>
      <w:tr>
        <w:trPr>
          <w:trHeight w:val="216"/>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1,055,457</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920" w:type="dxa"/>
            <w:vAlign w:val="bottom"/>
          </w:tcPr>
          <w:p>
            <w:pPr>
              <w:spacing w:after="0"/>
              <w:rPr>
                <w:sz w:val="20"/>
                <w:szCs w:val="20"/>
                <w:color w:val="auto"/>
              </w:rPr>
            </w:pPr>
            <w:r>
              <w:rPr>
                <w:rFonts w:ascii="Arial" w:cs="Arial" w:eastAsia="Arial" w:hAnsi="Arial"/>
                <w:sz w:val="18"/>
                <w:szCs w:val="18"/>
                <w:color w:val="auto"/>
              </w:rPr>
              <w:t>Net loss per share, basic and diluted is as follows: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6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36"/>
        </w:trPr>
        <w:tc>
          <w:tcPr>
            <w:tcW w:w="59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6"/>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40" w:type="dxa"/>
            <w:vAlign w:val="bottom"/>
            <w:tcBorders>
              <w:bottom w:val="single" w:sz="8" w:color="auto"/>
            </w:tcBorders>
            <w:gridSpan w:val="3"/>
          </w:tcPr>
          <w:p>
            <w:pPr>
              <w:ind w:left="1680"/>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34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shares of common stock</w:t>
            </w:r>
          </w:p>
        </w:tc>
        <w:tc>
          <w:tcPr>
            <w:tcW w:w="26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1,290,318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1,378,359</w:t>
            </w:r>
          </w:p>
        </w:tc>
        <w:tc>
          <w:tcPr>
            <w:tcW w:w="100" w:type="dxa"/>
            <w:vAlign w:val="bottom"/>
            <w:shd w:val="clear" w:color="auto" w:fill="CCEEFF"/>
          </w:tcPr>
          <w:p>
            <w:pPr>
              <w:spacing w:after="0"/>
              <w:rPr>
                <w:sz w:val="18"/>
                <w:szCs w:val="18"/>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8"/>
                <w:szCs w:val="18"/>
                <w:color w:val="auto"/>
              </w:rPr>
              <w:t>Warrants outstanding</w:t>
            </w:r>
          </w:p>
        </w:tc>
        <w:tc>
          <w:tcPr>
            <w:tcW w:w="4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263,743</w:t>
            </w:r>
          </w:p>
        </w:tc>
        <w:tc>
          <w:tcPr>
            <w:tcW w:w="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263,743</w:t>
            </w:r>
          </w:p>
        </w:tc>
        <w:tc>
          <w:tcPr>
            <w:tcW w:w="100" w:type="dxa"/>
            <w:vAlign w:val="bottom"/>
          </w:tcPr>
          <w:p>
            <w:pPr>
              <w:spacing w:after="0"/>
              <w:rPr>
                <w:sz w:val="20"/>
                <w:szCs w:val="20"/>
                <w:color w:val="auto"/>
              </w:rPr>
            </w:pPr>
          </w:p>
        </w:tc>
      </w:tr>
      <w:tr>
        <w:trPr>
          <w:trHeight w:val="216"/>
        </w:trPr>
        <w:tc>
          <w:tcPr>
            <w:tcW w:w="4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1,554,061</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1,642,102</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43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ind w:left="1120"/>
              <w:spacing w:after="0"/>
              <w:rPr>
                <w:sz w:val="20"/>
                <w:szCs w:val="20"/>
                <w:color w:val="auto"/>
              </w:rPr>
            </w:pPr>
            <w:r>
              <w:rPr>
                <w:rFonts w:ascii="Arial" w:cs="Arial" w:eastAsia="Arial" w:hAnsi="Arial"/>
                <w:sz w:val="18"/>
                <w:szCs w:val="18"/>
                <w:color w:val="auto"/>
              </w:rPr>
              <w:t>F-49</w:t>
            </w: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76" w:name="page177"/>
    <w:bookmarkEnd w:id="176"/>
    <w:p>
      <w:pPr>
        <w:ind w:right="8420" w:firstLine="8"/>
        <w:spacing w:after="0" w:line="503" w:lineRule="auto"/>
        <w:tabs>
          <w:tab w:leader="none" w:pos="27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w:t>
      </w:r>
    </w:p>
    <w:p>
      <w:pPr>
        <w:jc w:val="both"/>
        <w:spacing w:after="0" w:line="263" w:lineRule="auto"/>
        <w:rPr>
          <w:sz w:val="20"/>
          <w:szCs w:val="20"/>
          <w:color w:val="auto"/>
        </w:rPr>
      </w:pPr>
      <w:r>
        <w:rPr>
          <w:rFonts w:ascii="Arial" w:cs="Arial" w:eastAsia="Arial" w:hAnsi="Arial"/>
          <w:sz w:val="18"/>
          <w:szCs w:val="18"/>
          <w:color w:val="auto"/>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50B04"/>
        </w:rPr>
        <w:t>Effective January 26, 2022, the Company entered into an Exclusive License Agreement (the Agreement) with an unrelated third party. Under the Agreement, the Company is granted an exclusive license for certain patents and a non-exclusive license for certain know-how. The Agreement continues until the later of the expiration of the last to expire licensed patent or ten years after the first commercial sale of the first licensed therapeutic or non-therapeutic product. The Company may terminate the Agreement at any time by providing at least 30 days written notice to the third party. The Agreement is also terminated upon breach of a material obligation under the agreement or bankruptcy. Upon any termination of the agreement, neither party is relieved of obligations incurred prior to the termination.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50B04"/>
        </w:rPr>
        <w:t>During the three months ended March 31, 2023, the Company capitalized payments made under this license agreement in the amount of $3,858. These capitalized costs will be amortized over the life of the licensed patents, once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office and lab space in Branford, CT; Groton, CT; and Laval, Quebec. The Company’s leases expire at various dates through May 31, 2027. Most leases are for a fixed term and for a fixed amount. The Company is not a party to any leases that have step rent provisions, escalation clauses, capital improvement funding or payment increases based on any index or rate.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May 2021, the Company entered into a new lease for office and laboratory space in Groton, CT. The Groton lease required monthly payments of $4,234, which was increased to $6,824 in September 2021 upon leasing additional space. The Groton lease is initially for a one-year term, with up to three additional years renewal available.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Future minimum payments under non-cancelable operating leases with initial or remaining terms in excess of one year during each of the next five years follow:</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331,801</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337,984</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257,540</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184,541</w:t>
            </w:r>
          </w:p>
        </w:tc>
        <w:tc>
          <w:tcPr>
            <w:tcW w:w="80" w:type="dxa"/>
            <w:vAlign w:val="bottom"/>
          </w:tcPr>
          <w:p>
            <w:pPr>
              <w:spacing w:after="0"/>
              <w:rPr>
                <w:sz w:val="18"/>
                <w:szCs w:val="18"/>
                <w:color w:val="auto"/>
              </w:rPr>
            </w:pPr>
          </w:p>
        </w:tc>
      </w:tr>
      <w:tr>
        <w:trPr>
          <w:trHeight w:val="25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9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30,983</w:t>
            </w:r>
          </w:p>
        </w:tc>
        <w:tc>
          <w:tcPr>
            <w:tcW w:w="80" w:type="dxa"/>
            <w:vAlign w:val="bottom"/>
            <w:shd w:val="clear" w:color="auto" w:fill="CCEEFF"/>
          </w:tcPr>
          <w:p>
            <w:pPr>
              <w:spacing w:after="0"/>
              <w:rPr>
                <w:sz w:val="21"/>
                <w:szCs w:val="21"/>
                <w:color w:val="auto"/>
              </w:rPr>
            </w:pPr>
          </w:p>
        </w:tc>
      </w:tr>
      <w:tr>
        <w:trPr>
          <w:trHeight w:val="203"/>
        </w:trPr>
        <w:tc>
          <w:tcPr>
            <w:tcW w:w="64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future undiscounted lease payments</w:t>
            </w:r>
          </w:p>
        </w:tc>
        <w:tc>
          <w:tcPr>
            <w:tcW w:w="9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1,142,849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9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(83,654)</w:t>
            </w:r>
          </w:p>
        </w:tc>
      </w:tr>
      <w:tr>
        <w:trPr>
          <w:trHeight w:val="216"/>
        </w:trPr>
        <w:tc>
          <w:tcPr>
            <w:tcW w:w="64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Present value of lease liabilities</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1,059,195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 expense for all operating leases was $27,156 for the three months ended March 31, 2023. The weighted average lease term for all operating leases is 3.6 years. The weighted average discount rate for all operating leases is 4.25%.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050B04"/>
        </w:rPr>
        <w:t>14.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50B04"/>
        </w:rPr>
        <w:t xml:space="preserve">Effective January 1, 2019, the Company sponsors a 401(k) plan that covers substantially all employees. In order to be eligible to participate, an employee must complete two consecutive months of service and work a minimum of two hundred and fifty hours or work 1,000 hours in their first year of service. Employees may make pre-tax deferrals upon meeting the Plan eligibility requirements. Effective January 1, 2020, the Plan was transitioned to a </w:t>
      </w:r>
      <w:r>
        <w:rPr>
          <w:rFonts w:ascii="Arial" w:cs="Arial" w:eastAsia="Arial" w:hAnsi="Arial"/>
          <w:sz w:val="18"/>
          <w:szCs w:val="18"/>
          <w:color w:val="000000"/>
        </w:rPr>
        <w:t>safe harbor</w:t>
      </w:r>
      <w:r>
        <w:rPr>
          <w:rFonts w:ascii="Arial" w:cs="Arial" w:eastAsia="Arial" w:hAnsi="Arial"/>
          <w:sz w:val="18"/>
          <w:szCs w:val="18"/>
          <w:color w:val="050B04"/>
        </w:rPr>
        <w:t xml:space="preserve"> </w:t>
      </w:r>
      <w:r>
        <w:rPr>
          <w:rFonts w:ascii="Arial" w:cs="Arial" w:eastAsia="Arial" w:hAnsi="Arial"/>
          <w:sz w:val="18"/>
          <w:szCs w:val="18"/>
          <w:color w:val="000000"/>
        </w:rPr>
        <w:t>plan in which highly compensated employees are not eligible for matching contributions and non-highly compensated employees earn 100% match on first 3% contributed and 50% on the next 2% contributed. Total employer matching contributions were $2,191 and $8,743 for the three months ended March 31, 2023 and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50B04"/>
        </w:rPr>
        <w:t>15. Concentration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that potentially subject the Company to credit risk consist principally of cash and accounts receivable.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 periods ended March 31, 2023 and 2022, all service revenue was from one customer. For the three month period ended March 31, 2022, all grant revenue was from one grantor.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balance identified in the balance sheet is held in an account with a financial institution and insured by the Federal Deposit Insurance Corporation (FDIC) up to $250,000. At times, cash maintained on deposit may be in excess of FDIC limits.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early March 2020, there was a global outbreak of COVID-19 that has resulted in significant changes in the global economy. While the Company has not experienced any disruptions to its business operations to date, these changes, including a potential economic downturn, and any potential resulting direct or indirect negative impact to the Company cannot be determined, however they could have a prospective material impact to the Company’s business, cash flows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50B04"/>
        </w:rPr>
        <w:t>16. Related Parties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50B04"/>
        </w:rPr>
        <w:t>Total related party revenue was $113,300 and $120,000 for the three months ended March 31, 2023 and 2022, respectively and accounts receivable due from the related party was $0 and $175,000 at March 31, 2023 and December 31, 2022, respectively. Contract liabilities from the related party was $42,700 and $156,000 at March 31, 2023 and December 31, 2022,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2022 the Company entered into a convertible promissory note totaling $4,350,000 of which $4,000,000 was attributable to an entity who was also an investor in the Company’s Series A, A-1, and B Preferred Stock financing. (See Note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50B04"/>
        </w:rPr>
        <w:t>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50B04"/>
        </w:rPr>
        <w:t>The Company has evaluated events subsequent to the balance sheet date through June 13, 2023, the date these condensed financial statements were available to be issued.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50B04"/>
        </w:rPr>
        <w:t>During April and June 2023, the 2022 Convertible Notes were further amended to extend the maturity date to June 30, 2023 and allow for the sale of additional notes of $500,000 for a total aggregate principal of $4,850,000.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17, 2023, the Board of Directors approved a forward stock split at a ratio of 7.1-for-1 upon the effectiveness of the registration statement of which this prospectus forms a part. The Board of Directors also approved an increase in the authorized shares of the Company’s Common Stock to 100,000,000 along with a change in the Common Stock par value to $0.0001. All references to common stock, options to purchase common stock, share data, per share data and related information contained in the consolidated financial statements and related footnotes have been retrospectively adjusted, where applicable, to reflect the effect of the stock split, change in par value of our Common Stock, and the adjustment of the preferred stock conversion ratios, where applicable. Accordingly, an adjustment was made between common stock and additional paid-in-capital in the consolidated balance sheets to reflect the new values after the stock split.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706120</wp:posOffset>
            </wp:positionV>
            <wp:extent cx="3429000" cy="8572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847090</wp:posOffset>
            </wp:positionV>
            <wp:extent cx="17830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ThinkEquity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 2023</w:t>
      </w:r>
    </w:p>
    <w:p>
      <w:pPr>
        <w:spacing w:after="0" w:line="225"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2023 (the 25th day after the date of this offering), all dealers effecting transactions in these securities, whether or</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744220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ind w:left="3100"/>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various expenses to be incurred in connection with the sale and distribution of our common stock being registered hereby, all of which will be borne by us (except any underwriting discounts and commissions and expenses incurred for brokerage, accounting, tax or legal services or any other expenses incurred in disposing of the shares). All amounts are estimated except the SEC registration fee, the FINRA filing fee and the NYSE American filing fee.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3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FINRA Filing Fee</w:t>
            </w:r>
          </w:p>
        </w:tc>
        <w:tc>
          <w:tcPr>
            <w:tcW w:w="33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Non-Accountable Expenses to Underwriters</w:t>
            </w: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Initial NYSE American Listing Fee</w:t>
            </w:r>
          </w:p>
        </w:tc>
        <w:tc>
          <w:tcPr>
            <w:tcW w:w="33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3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200,000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Transfer Agent’s and Registrar’s Fees and Expenses</w:t>
            </w:r>
          </w:p>
        </w:tc>
        <w:tc>
          <w:tcPr>
            <w:tcW w:w="338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w:t>
            </w:r>
          </w:p>
        </w:tc>
        <w:tc>
          <w:tcPr>
            <w:tcW w:w="3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7,339</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1,153,337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summary is qualified in its entirety by reference to the complete text of any statutes referred to below and the amended and restated certificate of incorporation of Azitra, Inc., a Delaware corporation.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145 of the General Corporation Law of the State of Delaware (the “DGCL”) permits a Delaware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the case of an action by or in the right of the corporation, Section 145 of the DGCL permits a Delaware corporation to indemnify any person who was or is a party or is threatened to be made a party to any threatened, pending or completed action or suit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such action, suit or proceeding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that the Court of Chancery or such other court shall deem proper.</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145 of the DGCL also permits a Delaware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0" w:name="page181"/>
    <w:bookmarkEnd w:id="180"/>
    <w:p>
      <w:pPr>
        <w:jc w:val="both"/>
        <w:ind w:firstLine="648"/>
        <w:spacing w:after="0" w:line="279" w:lineRule="auto"/>
        <w:rPr>
          <w:sz w:val="20"/>
          <w:szCs w:val="20"/>
          <w:color w:val="auto"/>
        </w:rPr>
      </w:pPr>
      <w:r>
        <w:rPr>
          <w:rFonts w:ascii="Arial" w:cs="Arial" w:eastAsia="Arial" w:hAnsi="Arial"/>
          <w:sz w:val="17"/>
          <w:szCs w:val="17"/>
          <w:color w:val="auto"/>
        </w:rPr>
        <w:t>Our Amended and Restated Certificate of Incorporation to be adopted following the completion of this offering will state that to the fullest extent permitted by the DGCL our directors shall not be personally liable to us or to our stockholders for monetary damages for breach of fiduciary duty as a director. If the DGCL is amended after the date hereof to authorize corporate action further eliminating or limiting the personal liability of directors, then the liability of our directors shall be eliminated or limited to the fullest extent permitted by the DGCL, as so amended.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to be adopted following the completion of this offering shall require us, to the fullest extent permitted by applicable law, to provide indemnification of (and advancement of expenses to) our directors and officers, and authorizes us, to the fullest extent permitted by applicable law, to provide indemnification of (and advancement of expenses to) to other employees and agents (and any other persons to which the DGCL permits us to provide indemnification) through bylaw provisions, agreements with such directors, officers, employees, agents or other persons, vote of stockholders or disinterested directors or otherwise, subject only to limits created by the DGCL with respect to actions for breach of duty to our corporation, our stockholders and others.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to be adopted following the completion of this offering shall also provide that we shall, to the maximum extent and in the manner permitted by the DGCL, indemnify each of our directors, officers and all other persons we have the power to indemnify under Section 145 of the DGCL against expenses (including attorneys’ fees), judgments, fines, settlements and other amounts actually and reasonably incurred in connection with any proceeding, arising by reason of the fact that such person is or was a director of the Company. We may maintain insurance, at our expense, to protect the Company and any of our directors, officers, employees or agents against any such expense, liability or loss, whether or not we have the power to indemnify such person.</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closing of this offering, we expect to enter into indemnification agreements with each of our directors and executive officers that may be broader than the specific indemnification provisions contained in the DGCL.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to the closing of this offering, we plan to enter into an underwriting agreement, which will provide that the underwriters are obligated, under some circumstances, to indemnify our directors, officers and controlling persons against specified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of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over the three year period preceding the date of the prospectus that forms a part of this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September 2020, we conducted the placement of 392,000 shares of our Series B convertible preferred stock, at a price of $43.45 per share, to eight investors. Our Series B convertible preferred stock which will convert into 2,778,251 shares of our common stock upon the consummation of this offering.</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2022, we sold to one investor an unsecured convertible promissory note in the principal amount of $1,000,000. In January 2023, the principal amount of the note, along with all accrued interest, was converted into 23,432 shares of our Series B convertible preferred stock.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1" w:name="page182"/>
    <w:bookmarkEnd w:id="181"/>
    <w:p>
      <w:pPr>
        <w:jc w:val="both"/>
        <w:ind w:firstLine="648"/>
        <w:spacing w:after="0" w:line="263" w:lineRule="auto"/>
        <w:rPr>
          <w:sz w:val="20"/>
          <w:szCs w:val="20"/>
          <w:color w:val="auto"/>
        </w:rPr>
      </w:pPr>
      <w:r>
        <w:rPr>
          <w:rFonts w:ascii="Arial" w:cs="Arial" w:eastAsia="Arial" w:hAnsi="Arial"/>
          <w:sz w:val="18"/>
          <w:szCs w:val="18"/>
          <w:color w:val="auto"/>
        </w:rPr>
        <w:t>In September 2022, we conducted the placement of our unsecured convertible promissory notes in the aggregate principal amount of $4.35 million to five investors. The principal amount of the notes, along with all accrued and unpaid interest thereunder, is convertible into shares of our common at the conversion price of 50% of the initial public offering price.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offers, sales and issuances of the above securities by us were exempt from registration under the Securities Act by virtue of Section 4(a)(2) of the Securities Act and Rule 506 thereunder as transactions not involving a public offering. All of the investors were accredited investors as such term is defined in Rule 501 under the Securities Act.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notes and warrants issued in these transactions. All recipients had adequate access, through their relationships with us, to information about our Company. The sales of these securities were made without any general solicitation or advertising.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642937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29375" cy="17145"/>
                    </a:xfrm>
                    <a:prstGeom prst="rect">
                      <a:avLst/>
                    </a:prstGeom>
                    <a:noFill/>
                  </pic:spPr>
                </pic:pic>
              </a:graphicData>
            </a:graphic>
          </wp:anchor>
        </w:drawing>
      </w:r>
    </w:p>
    <w:p>
      <w:pPr>
        <w:spacing w:after="0" w:line="20"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232">
        <w:r>
          <w:rPr>
            <w:rFonts w:ascii="Arial" w:cs="Arial" w:eastAsia="Arial" w:hAnsi="Arial"/>
            <w:sz w:val="16"/>
            <w:szCs w:val="16"/>
            <w:u w:val="single" w:color="auto"/>
            <w:color w:val="0000EE"/>
          </w:rPr>
          <w:t>Form of Underwriting Agreement (including the form of Lock-Up Agreement).</w:t>
        </w:r>
      </w:hyperlink>
    </w:p>
    <w:p>
      <w:pPr>
        <w:spacing w:after="0" w:line="23"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233">
        <w:r>
          <w:rPr>
            <w:rFonts w:ascii="Arial" w:cs="Arial" w:eastAsia="Arial" w:hAnsi="Arial"/>
            <w:sz w:val="16"/>
            <w:szCs w:val="16"/>
            <w:u w:val="single" w:color="auto"/>
            <w:color w:val="0000EE"/>
          </w:rPr>
          <w:t>Amended and Restated Certificate of Incorporation of the Registrant.</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234">
        <w:r>
          <w:rPr>
            <w:rFonts w:ascii="Arial" w:cs="Arial" w:eastAsia="Arial" w:hAnsi="Arial"/>
            <w:sz w:val="16"/>
            <w:szCs w:val="16"/>
            <w:u w:val="single" w:color="auto"/>
            <w:color w:val="0000EE"/>
          </w:rPr>
          <w:t>Certificate of Amendment to Amended and Restated Certificate of Incorporation of the Registrant.</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235">
        <w:r>
          <w:rPr>
            <w:rFonts w:ascii="Arial" w:cs="Arial" w:eastAsia="Arial" w:hAnsi="Arial"/>
            <w:sz w:val="16"/>
            <w:szCs w:val="16"/>
            <w:u w:val="single" w:color="auto"/>
            <w:color w:val="0000EE"/>
          </w:rPr>
          <w:t>Form of Second Amended and Restated Certificate of Incorporation of the Registrant to be in effect upon completion of the offering.</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236">
        <w:r>
          <w:rPr>
            <w:rFonts w:ascii="Arial" w:cs="Arial" w:eastAsia="Arial" w:hAnsi="Arial"/>
            <w:sz w:val="16"/>
            <w:szCs w:val="16"/>
            <w:u w:val="single" w:color="auto"/>
            <w:color w:val="0000EE"/>
          </w:rPr>
          <w:t>Amended and Restated Bylaws of the Registrant.</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3.5*</w:t>
      </w:r>
      <w:r>
        <w:rPr>
          <w:sz w:val="20"/>
          <w:szCs w:val="20"/>
          <w:color w:val="auto"/>
        </w:rPr>
        <w:tab/>
      </w:r>
      <w:hyperlink r:id="rId237">
        <w:r>
          <w:rPr>
            <w:rFonts w:ascii="Arial" w:cs="Arial" w:eastAsia="Arial" w:hAnsi="Arial"/>
            <w:sz w:val="16"/>
            <w:szCs w:val="16"/>
            <w:u w:val="single" w:color="auto"/>
            <w:color w:val="0000EE"/>
          </w:rPr>
          <w:t>Form of Second Amended and Restated Bylaws of the Registrant to be in effect upon completion of the offering.</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38">
        <w:r>
          <w:rPr>
            <w:rFonts w:ascii="Arial" w:cs="Arial" w:eastAsia="Arial" w:hAnsi="Arial"/>
            <w:sz w:val="16"/>
            <w:szCs w:val="16"/>
            <w:u w:val="single" w:color="auto"/>
            <w:color w:val="0000EE"/>
          </w:rPr>
          <w:t>Specimen Certificate representing shares of Common Stock.</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239">
        <w:r>
          <w:rPr>
            <w:rFonts w:ascii="Arial" w:cs="Arial" w:eastAsia="Arial" w:hAnsi="Arial"/>
            <w:sz w:val="16"/>
            <w:szCs w:val="16"/>
            <w:u w:val="single" w:color="auto"/>
            <w:color w:val="0000EE"/>
          </w:rPr>
          <w:t>Form of Warrant.</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32">
        <w:r>
          <w:rPr>
            <w:rFonts w:ascii="Arial" w:cs="Arial" w:eastAsia="Arial" w:hAnsi="Arial"/>
            <w:sz w:val="16"/>
            <w:szCs w:val="16"/>
            <w:u w:val="single" w:color="auto"/>
            <w:color w:val="0000EE"/>
          </w:rPr>
          <w:t>Form of Representative’s Warrant (included in Exhibit 1.1).</w:t>
        </w:r>
      </w:hyperlink>
    </w:p>
    <w:p>
      <w:pPr>
        <w:spacing w:after="0" w:line="9"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r:id="rId240">
        <w:r>
          <w:rPr>
            <w:rFonts w:ascii="Arial" w:cs="Arial" w:eastAsia="Arial" w:hAnsi="Arial"/>
            <w:sz w:val="16"/>
            <w:szCs w:val="16"/>
            <w:u w:val="single" w:color="auto"/>
            <w:color w:val="0000EE"/>
          </w:rPr>
          <w:t>Opinion of Greenberg Traurig, LLP.</w:t>
        </w:r>
      </w:hyperlink>
    </w:p>
    <w:p>
      <w:pPr>
        <w:spacing w:after="0" w:line="9" w:lineRule="exact"/>
        <w:rPr>
          <w:sz w:val="20"/>
          <w:szCs w:val="20"/>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241">
        <w:r>
          <w:rPr>
            <w:rFonts w:ascii="Arial" w:cs="Arial" w:eastAsia="Arial" w:hAnsi="Arial"/>
            <w:sz w:val="16"/>
            <w:szCs w:val="16"/>
            <w:u w:val="single" w:color="auto"/>
            <w:color w:val="0000EE"/>
          </w:rPr>
          <w:t>Form of Indemnity Agreement between the Registrant and each of its directors and executive officers.</w:t>
        </w:r>
      </w:hyperlink>
    </w:p>
    <w:p>
      <w:pPr>
        <w:spacing w:after="0" w:line="9" w:lineRule="exact"/>
        <w:rPr>
          <w:sz w:val="20"/>
          <w:szCs w:val="20"/>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242">
        <w:r>
          <w:rPr>
            <w:rFonts w:ascii="Arial" w:cs="Arial" w:eastAsia="Arial" w:hAnsi="Arial"/>
            <w:sz w:val="16"/>
            <w:szCs w:val="16"/>
            <w:u w:val="single" w:color="auto"/>
            <w:color w:val="0000EE"/>
          </w:rPr>
          <w:t>Azitra, Inc. 2016 Stock Incentive Plan.</w:t>
        </w:r>
      </w:hyperlink>
    </w:p>
    <w:p>
      <w:pPr>
        <w:spacing w:after="0" w:line="9" w:lineRule="exact"/>
        <w:rPr>
          <w:sz w:val="20"/>
          <w:szCs w:val="20"/>
          <w:color w:val="auto"/>
        </w:rPr>
      </w:pPr>
    </w:p>
    <w:p>
      <w:pPr>
        <w:ind w:left="1100" w:hanging="81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243">
        <w:r>
          <w:rPr>
            <w:rFonts w:ascii="Arial" w:cs="Arial" w:eastAsia="Arial" w:hAnsi="Arial"/>
            <w:sz w:val="18"/>
            <w:szCs w:val="18"/>
            <w:u w:val="single" w:color="auto"/>
            <w:color w:val="0000EE"/>
          </w:rPr>
          <w:t>Second Amended and Restated Investors’ Rights Agreement dated September 10, 2020 between the Registrant and each of the investors</w:t>
        </w:r>
      </w:hyperlink>
      <w:r>
        <w:rPr>
          <w:rFonts w:ascii="Arial" w:cs="Arial" w:eastAsia="Arial" w:hAnsi="Arial"/>
          <w:sz w:val="18"/>
          <w:szCs w:val="18"/>
          <w:u w:val="single" w:color="auto"/>
          <w:color w:val="0000EE"/>
        </w:rPr>
        <w:t xml:space="preserve"> </w:t>
      </w:r>
      <w:hyperlink r:id="rId243">
        <w:r>
          <w:rPr>
            <w:rFonts w:ascii="Arial" w:cs="Arial" w:eastAsia="Arial" w:hAnsi="Arial"/>
            <w:sz w:val="18"/>
            <w:szCs w:val="18"/>
            <w:u w:val="single" w:color="auto"/>
            <w:color w:val="0000EE"/>
          </w:rPr>
          <w:t>named therein.</w:t>
        </w:r>
      </w:hyperlink>
    </w:p>
    <w:p>
      <w:pPr>
        <w:spacing w:after="0" w:line="1" w:lineRule="exact"/>
        <w:rPr>
          <w:sz w:val="20"/>
          <w:szCs w:val="20"/>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244">
        <w:r>
          <w:rPr>
            <w:rFonts w:ascii="Arial" w:cs="Arial" w:eastAsia="Arial" w:hAnsi="Arial"/>
            <w:sz w:val="16"/>
            <w:szCs w:val="16"/>
            <w:u w:val="single" w:color="auto"/>
            <w:color w:val="0000EE"/>
          </w:rPr>
          <w:t>Executive Employment Agreement dated April 22, 2021 between the Registrant and Francisco D. Salva.</w:t>
        </w:r>
      </w:hyperlink>
    </w:p>
    <w:p>
      <w:pPr>
        <w:spacing w:after="0" w:line="9" w:lineRule="exact"/>
        <w:rPr>
          <w:sz w:val="20"/>
          <w:szCs w:val="20"/>
          <w:color w:val="auto"/>
        </w:rPr>
      </w:pPr>
    </w:p>
    <w:p>
      <w:pPr>
        <w:ind w:left="2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245">
        <w:r>
          <w:rPr>
            <w:rFonts w:ascii="Arial" w:cs="Arial" w:eastAsia="Arial" w:hAnsi="Arial"/>
            <w:sz w:val="16"/>
            <w:szCs w:val="16"/>
            <w:u w:val="single" w:color="auto"/>
            <w:color w:val="0000EE"/>
          </w:rPr>
          <w:t>Azitra, Inc. 2023 Stock Incentive Plan.</w:t>
        </w:r>
      </w:hyperlink>
    </w:p>
    <w:p>
      <w:pPr>
        <w:spacing w:after="0" w:line="9" w:lineRule="exact"/>
        <w:rPr>
          <w:sz w:val="20"/>
          <w:szCs w:val="20"/>
          <w:color w:val="auto"/>
        </w:rPr>
      </w:pPr>
    </w:p>
    <w:p>
      <w:pPr>
        <w:ind w:left="30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246">
        <w:r>
          <w:rPr>
            <w:rFonts w:ascii="Arial" w:cs="Arial" w:eastAsia="Arial" w:hAnsi="Arial"/>
            <w:sz w:val="16"/>
            <w:szCs w:val="16"/>
            <w:u w:val="single" w:color="auto"/>
            <w:color w:val="0000EE"/>
          </w:rPr>
          <w:t>List of Subsidiaries of the Registrant.</w:t>
        </w:r>
      </w:hyperlink>
    </w:p>
    <w:p>
      <w:pPr>
        <w:spacing w:after="0" w:line="9" w:lineRule="exact"/>
        <w:rPr>
          <w:sz w:val="20"/>
          <w:szCs w:val="20"/>
          <w:color w:val="auto"/>
        </w:rPr>
      </w:pPr>
    </w:p>
    <w:p>
      <w:pPr>
        <w:ind w:left="30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r:id="rId240">
        <w:r>
          <w:rPr>
            <w:rFonts w:ascii="Arial" w:cs="Arial" w:eastAsia="Arial" w:hAnsi="Arial"/>
            <w:sz w:val="16"/>
            <w:szCs w:val="16"/>
            <w:u w:val="single" w:color="auto"/>
            <w:color w:val="0000EE"/>
          </w:rPr>
          <w:t>Consent of Greenberg Traurig, LLP (included in Exhibit 5.1).</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Grassi &amp; Co., CPAs, P.C., Independent Registered Public Accounting Firm.</w:t>
      </w:r>
    </w:p>
    <w:p>
      <w:pPr>
        <w:spacing w:after="0" w:line="9" w:lineRule="exact"/>
        <w:rPr>
          <w:sz w:val="20"/>
          <w:szCs w:val="20"/>
          <w:color w:val="auto"/>
        </w:rPr>
      </w:pPr>
    </w:p>
    <w:p>
      <w:pPr>
        <w:ind w:left="30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247">
        <w:r>
          <w:rPr>
            <w:rFonts w:ascii="Arial" w:cs="Arial" w:eastAsia="Arial" w:hAnsi="Arial"/>
            <w:sz w:val="16"/>
            <w:szCs w:val="16"/>
            <w:u w:val="single" w:color="auto"/>
            <w:color w:val="0000EE"/>
          </w:rPr>
          <w:t>Power of Attorney.</w:t>
        </w:r>
      </w:hyperlink>
    </w:p>
    <w:p>
      <w:pPr>
        <w:spacing w:after="0" w:line="9" w:lineRule="exact"/>
        <w:rPr>
          <w:sz w:val="20"/>
          <w:szCs w:val="20"/>
          <w:color w:val="auto"/>
        </w:rPr>
      </w:pPr>
    </w:p>
    <w:p>
      <w:pPr>
        <w:ind w:left="30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248">
        <w:r>
          <w:rPr>
            <w:rFonts w:ascii="Arial" w:cs="Arial" w:eastAsia="Arial" w:hAnsi="Arial"/>
            <w:sz w:val="16"/>
            <w:szCs w:val="16"/>
            <w:u w:val="single" w:color="auto"/>
            <w:color w:val="0000EE"/>
          </w:rPr>
          <w:t>Consents of Director Nominees.</w:t>
        </w:r>
      </w:hyperlink>
    </w:p>
    <w:p>
      <w:pPr>
        <w:spacing w:after="0" w:line="9" w:lineRule="exact"/>
        <w:rPr>
          <w:sz w:val="20"/>
          <w:szCs w:val="20"/>
          <w:color w:val="auto"/>
        </w:rPr>
      </w:pPr>
    </w:p>
    <w:p>
      <w:pPr>
        <w:ind w:left="320"/>
        <w:spacing w:after="0"/>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249">
        <w:r>
          <w:rPr>
            <w:rFonts w:ascii="Arial" w:cs="Arial" w:eastAsia="Arial" w:hAnsi="Arial"/>
            <w:sz w:val="18"/>
            <w:szCs w:val="18"/>
            <w:u w:val="single" w:color="auto"/>
            <w:color w:val="0000EE"/>
          </w:rPr>
          <w:t>Filing Fee Table.</w:t>
        </w:r>
      </w:hyperlink>
    </w:p>
    <w:p>
      <w:pPr>
        <w:spacing w:after="0" w:line="21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Indicates management compensatory plan, contract or arrangement.</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schedules have been omitted because they are not required or are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undertakes that:</w:t>
      </w:r>
    </w:p>
    <w:p>
      <w:pPr>
        <w:spacing w:after="0" w:line="225" w:lineRule="exact"/>
        <w:rPr>
          <w:sz w:val="20"/>
          <w:szCs w:val="20"/>
          <w:color w:val="auto"/>
        </w:rPr>
      </w:pPr>
    </w:p>
    <w:p>
      <w:pPr>
        <w:jc w:val="both"/>
        <w:ind w:firstLine="656"/>
        <w:spacing w:after="0" w:line="286" w:lineRule="auto"/>
        <w:tabs>
          <w:tab w:leader="none" w:pos="909" w:val="left"/>
        </w:tabs>
        <w:numPr>
          <w:ilvl w:val="0"/>
          <w:numId w:val="8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as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firstLine="656"/>
        <w:spacing w:after="0" w:line="263" w:lineRule="auto"/>
        <w:tabs>
          <w:tab w:leader="none" w:pos="913"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362"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Branford, State of Connecticut on June 13, 2023.</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AZITRA,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Francisco D. Salva</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Francisco D.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9"/>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Francisco D. Salva</w:t>
            </w:r>
          </w:p>
        </w:tc>
        <w:tc>
          <w:tcPr>
            <w:tcW w:w="240" w:type="dxa"/>
            <w:vAlign w:val="bottom"/>
          </w:tcPr>
          <w:p>
            <w:pPr>
              <w:spacing w:after="0"/>
              <w:rPr>
                <w:sz w:val="24"/>
                <w:szCs w:val="24"/>
                <w:color w:val="auto"/>
              </w:rPr>
            </w:pPr>
          </w:p>
        </w:tc>
        <w:tc>
          <w:tcPr>
            <w:tcW w:w="4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8"/>
              </w:rPr>
              <w:t>President,</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June 13, 2023</w:t>
            </w:r>
          </w:p>
        </w:tc>
        <w:tc>
          <w:tcPr>
            <w:tcW w:w="0" w:type="dxa"/>
            <w:vAlign w:val="bottom"/>
          </w:tcPr>
          <w:p>
            <w:pPr>
              <w:spacing w:after="0"/>
              <w:rPr>
                <w:sz w:val="1"/>
                <w:szCs w:val="1"/>
                <w:color w:val="auto"/>
              </w:rPr>
            </w:pPr>
          </w:p>
        </w:tc>
      </w:tr>
      <w:tr>
        <w:trPr>
          <w:trHeight w:val="195"/>
        </w:trPr>
        <w:tc>
          <w:tcPr>
            <w:tcW w:w="2920" w:type="dxa"/>
            <w:vAlign w:val="bottom"/>
            <w:gridSpan w:val="2"/>
          </w:tcPr>
          <w:p>
            <w:pPr>
              <w:spacing w:after="0" w:line="195" w:lineRule="exact"/>
              <w:rPr>
                <w:sz w:val="20"/>
                <w:szCs w:val="20"/>
                <w:color w:val="auto"/>
              </w:rPr>
            </w:pPr>
            <w:r>
              <w:rPr>
                <w:rFonts w:ascii="Arial" w:cs="Arial" w:eastAsia="Arial" w:hAnsi="Arial"/>
                <w:sz w:val="18"/>
                <w:szCs w:val="18"/>
                <w:color w:val="auto"/>
              </w:rPr>
              <w:t>Francisco D. Salva</w:t>
            </w:r>
          </w:p>
        </w:tc>
        <w:tc>
          <w:tcPr>
            <w:tcW w:w="240" w:type="dxa"/>
            <w:vAlign w:val="bottom"/>
          </w:tcPr>
          <w:p>
            <w:pPr>
              <w:spacing w:after="0"/>
              <w:rPr>
                <w:sz w:val="16"/>
                <w:szCs w:val="16"/>
                <w:color w:val="auto"/>
              </w:rPr>
            </w:pPr>
          </w:p>
        </w:tc>
        <w:tc>
          <w:tcPr>
            <w:tcW w:w="4940" w:type="dxa"/>
            <w:vAlign w:val="bottom"/>
            <w:gridSpan w:val="2"/>
          </w:tcPr>
          <w:p>
            <w:pPr>
              <w:jc w:val="center"/>
              <w:ind w:right="20"/>
              <w:spacing w:after="0" w:line="195" w:lineRule="exact"/>
              <w:rPr>
                <w:sz w:val="20"/>
                <w:szCs w:val="20"/>
                <w:color w:val="auto"/>
              </w:rPr>
            </w:pPr>
            <w:r>
              <w:rPr>
                <w:rFonts w:ascii="Arial" w:cs="Arial" w:eastAsia="Arial" w:hAnsi="Arial"/>
                <w:sz w:val="18"/>
                <w:szCs w:val="18"/>
                <w:color w:val="auto"/>
                <w:w w:val="93"/>
              </w:rPr>
              <w:t>Chief Executive Officer and Director</w:t>
            </w: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gridSpan w:val="2"/>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Norman Staskey</w:t>
            </w:r>
          </w:p>
        </w:tc>
        <w:tc>
          <w:tcPr>
            <w:tcW w:w="240" w:type="dxa"/>
            <w:vAlign w:val="bottom"/>
          </w:tcPr>
          <w:p>
            <w:pPr>
              <w:spacing w:after="0"/>
              <w:rPr>
                <w:sz w:val="24"/>
                <w:szCs w:val="24"/>
                <w:color w:val="auto"/>
              </w:rPr>
            </w:pPr>
          </w:p>
        </w:tc>
        <w:tc>
          <w:tcPr>
            <w:tcW w:w="4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Chief Financial Officer,</w:t>
            </w:r>
          </w:p>
        </w:tc>
        <w:tc>
          <w:tcPr>
            <w:tcW w:w="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June 13, 2023</w:t>
            </w:r>
          </w:p>
        </w:tc>
        <w:tc>
          <w:tcPr>
            <w:tcW w:w="0" w:type="dxa"/>
            <w:vAlign w:val="bottom"/>
          </w:tcPr>
          <w:p>
            <w:pPr>
              <w:spacing w:after="0"/>
              <w:rPr>
                <w:sz w:val="1"/>
                <w:szCs w:val="1"/>
                <w:color w:val="auto"/>
              </w:rPr>
            </w:pPr>
          </w:p>
        </w:tc>
      </w:tr>
      <w:tr>
        <w:trPr>
          <w:trHeight w:val="195"/>
        </w:trPr>
        <w:tc>
          <w:tcPr>
            <w:tcW w:w="2920" w:type="dxa"/>
            <w:vAlign w:val="bottom"/>
            <w:gridSpan w:val="2"/>
          </w:tcPr>
          <w:p>
            <w:pPr>
              <w:spacing w:after="0" w:line="195" w:lineRule="exact"/>
              <w:rPr>
                <w:sz w:val="20"/>
                <w:szCs w:val="20"/>
                <w:color w:val="auto"/>
              </w:rPr>
            </w:pPr>
            <w:r>
              <w:rPr>
                <w:rFonts w:ascii="Arial" w:cs="Arial" w:eastAsia="Arial" w:hAnsi="Arial"/>
                <w:sz w:val="18"/>
                <w:szCs w:val="18"/>
                <w:color w:val="auto"/>
              </w:rPr>
              <w:t>Norman Staskey</w:t>
            </w:r>
          </w:p>
        </w:tc>
        <w:tc>
          <w:tcPr>
            <w:tcW w:w="240" w:type="dxa"/>
            <w:vAlign w:val="bottom"/>
          </w:tcPr>
          <w:p>
            <w:pPr>
              <w:spacing w:after="0"/>
              <w:rPr>
                <w:sz w:val="16"/>
                <w:szCs w:val="16"/>
                <w:color w:val="auto"/>
              </w:rPr>
            </w:pPr>
          </w:p>
        </w:tc>
        <w:tc>
          <w:tcPr>
            <w:tcW w:w="4940" w:type="dxa"/>
            <w:vAlign w:val="bottom"/>
            <w:gridSpan w:val="2"/>
          </w:tcPr>
          <w:p>
            <w:pPr>
              <w:jc w:val="center"/>
              <w:ind w:right="20"/>
              <w:spacing w:after="0" w:line="195" w:lineRule="exact"/>
              <w:rPr>
                <w:sz w:val="20"/>
                <w:szCs w:val="20"/>
                <w:color w:val="auto"/>
              </w:rPr>
            </w:pPr>
            <w:r>
              <w:rPr>
                <w:rFonts w:ascii="Arial" w:cs="Arial" w:eastAsia="Arial" w:hAnsi="Arial"/>
                <w:sz w:val="18"/>
                <w:szCs w:val="18"/>
                <w:color w:val="auto"/>
                <w:w w:val="88"/>
              </w:rPr>
              <w:t>Treasurer and Secretary</w:t>
            </w: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w:t>
            </w:r>
          </w:p>
        </w:tc>
        <w:tc>
          <w:tcPr>
            <w:tcW w:w="2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vMerge w:val="restart"/>
          </w:tcPr>
          <w:p>
            <w:pPr>
              <w:jc w:val="center"/>
              <w:spacing w:after="0"/>
              <w:rPr>
                <w:sz w:val="20"/>
                <w:szCs w:val="20"/>
                <w:color w:val="auto"/>
              </w:rPr>
            </w:pPr>
            <w:r>
              <w:rPr>
                <w:rFonts w:ascii="Arial" w:cs="Arial" w:eastAsia="Arial" w:hAnsi="Arial"/>
                <w:sz w:val="18"/>
                <w:szCs w:val="18"/>
                <w:color w:val="auto"/>
                <w:w w:val="87"/>
              </w:rPr>
              <w:t>June 13, 2023</w:t>
            </w:r>
          </w:p>
        </w:tc>
        <w:tc>
          <w:tcPr>
            <w:tcW w:w="0" w:type="dxa"/>
            <w:vAlign w:val="bottom"/>
          </w:tcPr>
          <w:p>
            <w:pPr>
              <w:spacing w:after="0"/>
              <w:rPr>
                <w:sz w:val="1"/>
                <w:szCs w:val="1"/>
                <w:color w:val="auto"/>
              </w:rPr>
            </w:pPr>
          </w:p>
        </w:tc>
      </w:tr>
      <w:tr>
        <w:trPr>
          <w:trHeight w:val="224"/>
        </w:trPr>
        <w:tc>
          <w:tcPr>
            <w:tcW w:w="2920" w:type="dxa"/>
            <w:vAlign w:val="bottom"/>
            <w:gridSpan w:val="2"/>
          </w:tcPr>
          <w:p>
            <w:pPr>
              <w:spacing w:after="0"/>
              <w:rPr>
                <w:sz w:val="20"/>
                <w:szCs w:val="20"/>
                <w:color w:val="auto"/>
              </w:rPr>
            </w:pPr>
            <w:r>
              <w:rPr>
                <w:rFonts w:ascii="Arial" w:cs="Arial" w:eastAsia="Arial" w:hAnsi="Arial"/>
                <w:sz w:val="18"/>
                <w:szCs w:val="18"/>
                <w:color w:val="auto"/>
              </w:rPr>
              <w:t>Travis Whitfill</w:t>
            </w:r>
          </w:p>
        </w:tc>
        <w:tc>
          <w:tcPr>
            <w:tcW w:w="240" w:type="dxa"/>
            <w:vAlign w:val="bottom"/>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w:t>
            </w:r>
          </w:p>
        </w:tc>
        <w:tc>
          <w:tcPr>
            <w:tcW w:w="2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vMerge w:val="restart"/>
          </w:tcPr>
          <w:p>
            <w:pPr>
              <w:jc w:val="center"/>
              <w:spacing w:after="0"/>
              <w:rPr>
                <w:sz w:val="20"/>
                <w:szCs w:val="20"/>
                <w:color w:val="auto"/>
              </w:rPr>
            </w:pPr>
            <w:r>
              <w:rPr>
                <w:rFonts w:ascii="Arial" w:cs="Arial" w:eastAsia="Arial" w:hAnsi="Arial"/>
                <w:sz w:val="18"/>
                <w:szCs w:val="18"/>
                <w:color w:val="auto"/>
                <w:w w:val="87"/>
              </w:rPr>
              <w:t>June 13, 2023</w:t>
            </w:r>
          </w:p>
        </w:tc>
        <w:tc>
          <w:tcPr>
            <w:tcW w:w="0" w:type="dxa"/>
            <w:vAlign w:val="bottom"/>
          </w:tcPr>
          <w:p>
            <w:pPr>
              <w:spacing w:after="0"/>
              <w:rPr>
                <w:sz w:val="1"/>
                <w:szCs w:val="1"/>
                <w:color w:val="auto"/>
              </w:rPr>
            </w:pPr>
          </w:p>
        </w:tc>
      </w:tr>
      <w:tr>
        <w:trPr>
          <w:trHeight w:val="224"/>
        </w:trPr>
        <w:tc>
          <w:tcPr>
            <w:tcW w:w="2920" w:type="dxa"/>
            <w:vAlign w:val="bottom"/>
            <w:gridSpan w:val="2"/>
          </w:tcPr>
          <w:p>
            <w:pPr>
              <w:spacing w:after="0"/>
              <w:rPr>
                <w:sz w:val="20"/>
                <w:szCs w:val="20"/>
                <w:color w:val="auto"/>
              </w:rPr>
            </w:pPr>
            <w:r>
              <w:rPr>
                <w:rFonts w:ascii="Arial" w:cs="Arial" w:eastAsia="Arial" w:hAnsi="Arial"/>
                <w:sz w:val="18"/>
                <w:szCs w:val="18"/>
                <w:color w:val="auto"/>
              </w:rPr>
              <w:t>Andrew McClary</w:t>
            </w:r>
          </w:p>
        </w:tc>
        <w:tc>
          <w:tcPr>
            <w:tcW w:w="240" w:type="dxa"/>
            <w:vAlign w:val="bottom"/>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920" w:type="dxa"/>
            <w:vAlign w:val="bottom"/>
            <w:gridSpan w:val="2"/>
          </w:tcPr>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Francisco D. Salva</w:t>
            </w: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Francisco D. Salva</w:t>
            </w:r>
          </w:p>
        </w:tc>
        <w:tc>
          <w:tcPr>
            <w:tcW w:w="2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Attorney-in Fact</w:t>
            </w: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rPr>
              <w:t>II-4</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83" w:name="page184"/>
    <w:bookmarkEnd w:id="183"/>
    <w:p>
      <w:pPr>
        <w:ind w:left="10320"/>
        <w:spacing w:after="0"/>
        <w:rPr>
          <w:sz w:val="20"/>
          <w:szCs w:val="20"/>
          <w:color w:val="auto"/>
        </w:rPr>
      </w:pPr>
      <w:r>
        <w:rPr>
          <w:rFonts w:ascii="Arial" w:cs="Arial" w:eastAsia="Arial" w:hAnsi="Arial"/>
          <w:sz w:val="16"/>
          <w:szCs w:val="16"/>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5743575" cy="814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57435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inclusion in this Registration Statement on Form S-1 of our report dated February 20, 2023, except for Notes 9, 10, 11, 14, and 19, as to which the date is June 13, 2023, which includes an explanatory paragraph as to the Company’s ability to continue as a going concern, relating to the financial statements of Azitra, Inc. as of and for the years ended December 31, 2022 and 2021. We also consent to the reference to our firm under the heading “Experts” appearing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Grassi &amp; Co., CPAs,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decimal"/>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decimal"/>
      <w:start w:val="1"/>
    </w:lvl>
    <w:lvl w:ilvl="1">
      <w:lvlJc w:val="left"/>
      <w:lvlText w:val="(%2)"/>
      <w:numFmt w:val="lowerRoman"/>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
      <w:numFmt w:val="bullet"/>
      <w:start w:val="1"/>
    </w:lvl>
    <w:lvl w:ilvl="1">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upperLetter"/>
      <w:start w:val="6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decimal"/>
      <w:start w:val="2"/>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1."/>
      <w:numFmt w:val="decimal"/>
      <w:start w:val="2"/>
    </w:lvl>
  </w:abstractNum>
  <w:abstractNum w:abstractNumId="67">
    <w:nsid w:val="42963E5A"/>
    <w:multiLevelType w:val="hybridMultilevel"/>
    <w:lvl w:ilvl="0">
      <w:lvlJc w:val="left"/>
      <w:lvlText w:val="%1."/>
      <w:numFmt w:val="decimal"/>
      <w:start w:val="2"/>
    </w:lvl>
  </w:abstractNum>
  <w:abstractNum w:abstractNumId="68">
    <w:nsid w:val="A0382C5"/>
    <w:multiLevelType w:val="hybridMultilevel"/>
    <w:lvl w:ilvl="0">
      <w:lvlJc w:val="left"/>
      <w:lvlText w:val="%1."/>
      <w:numFmt w:val="decimal"/>
      <w:start w:val="2"/>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decimal"/>
      <w:start w:val="2"/>
    </w:lvl>
  </w:abstractNum>
  <w:abstractNum w:abstractNumId="71">
    <w:nsid w:val="3B0FD379"/>
    <w:multiLevelType w:val="hybridMultilevel"/>
    <w:lvl w:ilvl="0">
      <w:lvlJc w:val="left"/>
      <w:lvlText w:val="%1."/>
      <w:numFmt w:val="decimal"/>
      <w:start w:val="2"/>
    </w:lvl>
  </w:abstractNum>
  <w:abstractNum w:abstractNumId="72">
    <w:nsid w:val="68EB2F63"/>
    <w:multiLevelType w:val="hybridMultilevel"/>
    <w:lvl w:ilvl="0">
      <w:lvlJc w:val="left"/>
      <w:lvlText w:val="%1."/>
      <w:numFmt w:val="decimal"/>
      <w:start w:val="2"/>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1."/>
      <w:numFmt w:val="decimal"/>
      <w:start w:val="2"/>
    </w:lvl>
  </w:abstractNum>
  <w:abstractNum w:abstractNumId="75">
    <w:nsid w:val="6A5EE64"/>
    <w:multiLevelType w:val="hybridMultilevel"/>
    <w:lvl w:ilvl="0">
      <w:lvlJc w:val="left"/>
      <w:lvlText w:val="%1."/>
      <w:numFmt w:val="decimal"/>
      <w:start w:val="9"/>
    </w:lvl>
  </w:abstractNum>
  <w:abstractNum w:abstractNumId="76">
    <w:nsid w:val="14330624"/>
    <w:multiLevelType w:val="hybridMultilevel"/>
    <w:lvl w:ilvl="0">
      <w:lvlJc w:val="left"/>
      <w:lvlText w:val="%1."/>
      <w:numFmt w:val="decimal"/>
      <w:start w:val="9"/>
    </w:lvl>
  </w:abstractNum>
  <w:abstractNum w:abstractNumId="77">
    <w:nsid w:val="7FFFCA11"/>
    <w:multiLevelType w:val="hybridMultilevel"/>
    <w:lvl w:ilvl="0">
      <w:lvlJc w:val="left"/>
      <w:lvlText w:val="%1."/>
      <w:numFmt w:val="decimal"/>
      <w:start w:val="9"/>
    </w:lvl>
  </w:abstractNum>
  <w:abstractNum w:abstractNumId="78">
    <w:nsid w:val="1A27709E"/>
    <w:multiLevelType w:val="hybridMultilevel"/>
    <w:lvl w:ilvl="0">
      <w:lvlJc w:val="left"/>
      <w:lvlText w:val="%1."/>
      <w:numFmt w:val="decimal"/>
      <w:start w:val="15"/>
    </w:lvl>
  </w:abstractNum>
  <w:abstractNum w:abstractNumId="79">
    <w:nsid w:val="71EA1109"/>
    <w:multiLevelType w:val="hybridMultilevel"/>
    <w:lvl w:ilvl="0">
      <w:lvlJc w:val="left"/>
      <w:lvlText w:val="%1."/>
      <w:numFmt w:val="decimal"/>
      <w:start w:val="2"/>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8"/>
    </w:lvl>
  </w:abstractNum>
  <w:abstractNum w:abstractNumId="83">
    <w:nsid w:val="6F6DD9AC"/>
    <w:multiLevelType w:val="hybridMultilevel"/>
    <w:lvl w:ilvl="0">
      <w:lvlJc w:val="left"/>
      <w:lvlText w:val="%1."/>
      <w:numFmt w:val="decimal"/>
      <w:start w:val="13"/>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jpeg"/><Relationship Id="rId253" Type="http://schemas.openxmlformats.org/officeDocument/2006/relationships/image" Target="media/image228.png"/><Relationship Id="rId232" Type="http://schemas.openxmlformats.org/officeDocument/2006/relationships/hyperlink" Target="https://www.sec.gov/Archives/edgar/data/1701478/000149315223017665/ex1-1.htm" TargetMode="External"/><Relationship Id="rId233" Type="http://schemas.openxmlformats.org/officeDocument/2006/relationships/hyperlink" Target="https://www.sec.gov/Archives/edgar/data/1701478/000149315223020057/ex3-1.htm" TargetMode="External"/><Relationship Id="rId234" Type="http://schemas.openxmlformats.org/officeDocument/2006/relationships/hyperlink" Target="https://www.sec.gov/Archives/edgar/data/1701478/000149315223005551/ex3-2.htm" TargetMode="External"/><Relationship Id="rId235" Type="http://schemas.openxmlformats.org/officeDocument/2006/relationships/hyperlink" Target="https://www.sec.gov/Archives/edgar/data/1701478/000149315223008274/ex3-3.htm" TargetMode="External"/><Relationship Id="rId236" Type="http://schemas.openxmlformats.org/officeDocument/2006/relationships/hyperlink" Target="https://www.sec.gov/Archives/edgar/data/1701478/000149315223005551/ex3-4.htm" TargetMode="External"/><Relationship Id="rId237" Type="http://schemas.openxmlformats.org/officeDocument/2006/relationships/hyperlink" Target="https://www.sec.gov/Archives/edgar/data/1701478/000149315223008274/ex3-5.htm" TargetMode="External"/><Relationship Id="rId238" Type="http://schemas.openxmlformats.org/officeDocument/2006/relationships/hyperlink" Target="https://www.sec.gov/Archives/edgar/data/1701478/000149315223017665/ex4-1.htm" TargetMode="External"/><Relationship Id="rId239" Type="http://schemas.openxmlformats.org/officeDocument/2006/relationships/hyperlink" Target="https://www.sec.gov/Archives/edgar/data/1701478/000149315223005551/ex4-2.htm" TargetMode="External"/><Relationship Id="rId240" Type="http://schemas.openxmlformats.org/officeDocument/2006/relationships/hyperlink" Target="https://www.sec.gov/Archives/edgar/data/1701478/000149315223020057/ex5-1.htm" TargetMode="External"/><Relationship Id="rId241" Type="http://schemas.openxmlformats.org/officeDocument/2006/relationships/hyperlink" Target="https://www.sec.gov/Archives/edgar/data/1701478/000149315222035618/filename6.htm" TargetMode="External"/><Relationship Id="rId242" Type="http://schemas.openxmlformats.org/officeDocument/2006/relationships/hyperlink" Target="https://www.sec.gov/Archives/edgar/data/1701478/000149315222035618/filename7.htm" TargetMode="External"/><Relationship Id="rId243" Type="http://schemas.openxmlformats.org/officeDocument/2006/relationships/hyperlink" Target="https://www.sec.gov/Archives/edgar/data/1701478/000149315222035618/filename8.htm" TargetMode="External"/><Relationship Id="rId244" Type="http://schemas.openxmlformats.org/officeDocument/2006/relationships/hyperlink" Target="https://www.sec.gov/Archives/edgar/data/1701478/000149315222035618/filename9.htm" TargetMode="External"/><Relationship Id="rId245" Type="http://schemas.openxmlformats.org/officeDocument/2006/relationships/hyperlink" Target="https://www.sec.gov/Archives/edgar/data/1701478/000149315223008274/ex10-5.htm" TargetMode="External"/><Relationship Id="rId246" Type="http://schemas.openxmlformats.org/officeDocument/2006/relationships/hyperlink" Target="https://www.sec.gov/Archives/edgar/data/1701478/000149315223008274/ex21-1.htm" TargetMode="External"/><Relationship Id="rId247" Type="http://schemas.openxmlformats.org/officeDocument/2006/relationships/hyperlink" Target="https://www.sec.gov/Archives/edgar/data/1701478/000149315222035618/filename1.htm#poa_001" TargetMode="External"/><Relationship Id="rId248" Type="http://schemas.openxmlformats.org/officeDocument/2006/relationships/hyperlink" Target="https://www.sec.gov/Archives/edgar/data/1701478/000149315223005551/ex99-1.htm" TargetMode="External"/><Relationship Id="rId249" Type="http://schemas.openxmlformats.org/officeDocument/2006/relationships/hyperlink" Target="https://www.sec.gov/Archives/edgar/data/1701478/000149315223020057/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2023-06-13T15:59:52Z</dcterms:created>
  <dcterms:modified xsi:type="dcterms:W3CDTF">2023-06-13T15:59:52Z</dcterms:modified>
</cp:coreProperties>
</file>