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Azitra,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0000FF"/>
        </w:rPr>
        <w:t>Francisco D. Salva</w:t>
      </w:r>
    </w:p>
    <w:p>
      <w:pPr>
        <w:spacing w:after="0" w:line="8"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21 Business Park Drive,,</w:t>
      </w:r>
    </w:p>
    <w:p>
      <w:pPr>
        <w:ind w:left="3860"/>
        <w:spacing w:after="0" w:line="230" w:lineRule="auto"/>
        <w:rPr>
          <w:sz w:val="20"/>
          <w:szCs w:val="20"/>
          <w:color w:val="auto"/>
        </w:rPr>
      </w:pPr>
      <w:r>
        <w:rPr>
          <w:rFonts w:ascii="Times New Roman" w:cs="Times New Roman" w:eastAsia="Times New Roman" w:hAnsi="Times New Roman"/>
          <w:sz w:val="22"/>
          <w:szCs w:val="22"/>
          <w:b w:val="1"/>
          <w:bCs w:val="1"/>
          <w:color w:val="0000FF"/>
        </w:rPr>
        <w:t>Branford, CT, 06405</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203-646-6446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Salva Francisco D.</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5,421,039.00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5,421,039.00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5,421,039.00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00"/>
          </w:cols>
          <w:pgMar w:left="360" w:top="111"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Azitra,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21 Business Park Drive, BRANFORD, CONNECTICUT , 06405.</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Francisco D. Salva</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 Azitra, Inc., 21 Business Park Drive, Branford, CT 06405</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is the President, Chief Executive Officer and a director of the Issuer.</w:t>
      </w:r>
    </w:p>
    <w:p>
      <w:pPr>
        <w:spacing w:after="0" w:line="44" w:lineRule="exact"/>
        <w:rPr>
          <w:rFonts w:ascii="Times New Roman" w:cs="Times New Roman" w:eastAsia="Times New Roman" w:hAnsi="Times New Roman"/>
          <w:sz w:val="22"/>
          <w:szCs w:val="22"/>
          <w:color w:val="auto"/>
        </w:rPr>
      </w:pPr>
    </w:p>
    <w:p>
      <w:pPr>
        <w:ind w:left="940" w:right="320" w:hanging="932"/>
        <w:spacing w:after="0" w:line="185" w:lineRule="auto"/>
        <w:tabs>
          <w:tab w:leader="none" w:pos="94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the Reporting Person has not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line="185" w:lineRule="auto"/>
        <w:tabs>
          <w:tab w:leader="none" w:pos="94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the Reporting Person has not been party to a civil proceeding of a judicial or administrative body of competent jurisdiction.</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United States</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180"/>
        <w:spacing w:after="0" w:line="261" w:lineRule="auto"/>
        <w:rPr>
          <w:sz w:val="20"/>
          <w:szCs w:val="20"/>
          <w:color w:val="auto"/>
        </w:rPr>
      </w:pPr>
      <w:r>
        <w:rPr>
          <w:rFonts w:ascii="Times New Roman" w:cs="Times New Roman" w:eastAsia="Times New Roman" w:hAnsi="Times New Roman"/>
          <w:sz w:val="21"/>
          <w:szCs w:val="21"/>
          <w:color w:val="auto"/>
        </w:rPr>
        <w:t>The Reporting Person received 22,241 Incentive Stock Options to purchase shares of the Issuer's Common Stock as compensation for serving as Chief Executive Officer of the Company. The Reporting Person acquired shares of Preferred Stock that automatically converted into 4,064,050 shares of the Issuer's Common Stock on June 16, 2026.</w:t>
      </w:r>
    </w:p>
    <w:p>
      <w:pPr>
        <w:sectPr>
          <w:pgSz w:w="11900" w:h="16838" w:orient="portrait"/>
          <w:cols w:equalWidth="0" w:num="1">
            <w:col w:w="11120"/>
          </w:cols>
          <w:pgMar w:left="360" w:top="111" w:right="419" w:bottom="0" w:gutter="0" w:footer="0" w:header="0"/>
          <w:type w:val="continuous"/>
        </w:sectPr>
      </w:pPr>
    </w:p>
    <w:bookmarkStart w:id="2" w:name="page3"/>
    <w:bookmarkEnd w:id="2"/>
    <w:p>
      <w:pPr>
        <w:ind w:left="940" w:right="40"/>
        <w:spacing w:after="0" w:line="238" w:lineRule="auto"/>
        <w:rPr>
          <w:sz w:val="20"/>
          <w:szCs w:val="20"/>
          <w:color w:val="auto"/>
        </w:rPr>
      </w:pPr>
      <w:r>
        <w:rPr>
          <w:rFonts w:ascii="Times New Roman" w:cs="Times New Roman" w:eastAsia="Times New Roman" w:hAnsi="Times New Roman"/>
          <w:sz w:val="22"/>
          <w:szCs w:val="22"/>
          <w:color w:val="auto"/>
        </w:rPr>
        <w:t>The Reporting Person also holds warrants to purchase up to 8,128,100 shares of the Issuer's Common Stock, of which 1,334,748 warrants may be exercised in the 60 days following the date hereof, and the remainder are subject to a beneficial ownership limitation contained in the warrants. The Preferred Stock that converted into shares of the Issuer's Common Stock and the warrants were purchased with personal funds. No borrowed funds were used to acquire the securities reported.</w:t>
      </w:r>
    </w:p>
    <w:p>
      <w:pPr>
        <w:spacing w:after="0" w:line="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59" w:lineRule="auto"/>
        <w:rPr>
          <w:sz w:val="20"/>
          <w:szCs w:val="20"/>
          <w:color w:val="auto"/>
        </w:rPr>
      </w:pPr>
      <w:r>
        <w:rPr>
          <w:rFonts w:ascii="Times New Roman" w:cs="Times New Roman" w:eastAsia="Times New Roman" w:hAnsi="Times New Roman"/>
          <w:sz w:val="21"/>
          <w:szCs w:val="21"/>
          <w:color w:val="auto"/>
        </w:rPr>
        <w:t>The Reporting Person acquired the securities for investment purposes and currently intends to hold the securities for investment. The Reporting Person may from time to time acquire additional securities of the Issuer or dispose of securities of the Issuer depending on market conditions, the Issuer's business and prospects, and other relevant factors.</w:t>
      </w:r>
    </w:p>
    <w:p>
      <w:pPr>
        <w:spacing w:after="0" w:line="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540"/>
        <w:spacing w:after="0" w:line="253" w:lineRule="auto"/>
        <w:rPr>
          <w:sz w:val="20"/>
          <w:szCs w:val="20"/>
          <w:color w:val="auto"/>
        </w:rPr>
      </w:pPr>
      <w:r>
        <w:rPr>
          <w:rFonts w:ascii="Times New Roman" w:cs="Times New Roman" w:eastAsia="Times New Roman" w:hAnsi="Times New Roman"/>
          <w:sz w:val="21"/>
          <w:szCs w:val="21"/>
          <w:color w:val="auto"/>
        </w:rPr>
        <w:t>As of June 24, 2026, the Reporting Person beneficially owned 5,421,039 shares of Common Stock of the Issuer, representing approximately 9.99% of the Issuer's outstanding Common Stock (based on 52,907,666 shares</w:t>
      </w:r>
    </w:p>
    <w:p>
      <w:pPr>
        <w:spacing w:after="0" w:line="1" w:lineRule="exact"/>
        <w:rPr>
          <w:sz w:val="20"/>
          <w:szCs w:val="20"/>
          <w:color w:val="auto"/>
        </w:rPr>
      </w:pPr>
    </w:p>
    <w:p>
      <w:pPr>
        <w:ind w:left="940" w:right="60" w:hanging="932"/>
        <w:spacing w:after="0" w:line="189" w:lineRule="auto"/>
        <w:tabs>
          <w:tab w:leader="none" w:pos="94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outstanding). Such 5,421,039 shares of Common Stock of the Issuer includes 22,241 Incentive Stock Options to purchase shares of the Issuer's Common Stock and 1,334,748 shares of Common Stock underlying warrants that may be exercised in the 60 days following the date hereof. It excludes 6,793,352 shares of the Issuer's Common Stock that are not issuable within the 60 days following the date hereof.</w:t>
      </w:r>
    </w:p>
    <w:p>
      <w:pPr>
        <w:spacing w:after="0" w:line="14" w:lineRule="exact"/>
        <w:rPr>
          <w:rFonts w:ascii="Times New Roman" w:cs="Times New Roman" w:eastAsia="Times New Roman" w:hAnsi="Times New Roman"/>
          <w:sz w:val="43"/>
          <w:szCs w:val="43"/>
          <w:color w:val="auto"/>
          <w:vertAlign w:val="subscript"/>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has sole voting and dispositive power over all 5,421,039 shares held directly.</w:t>
      </w:r>
    </w:p>
    <w:p>
      <w:pPr>
        <w:spacing w:after="0" w:line="44" w:lineRule="exact"/>
        <w:rPr>
          <w:rFonts w:ascii="Times New Roman" w:cs="Times New Roman" w:eastAsia="Times New Roman" w:hAnsi="Times New Roman"/>
          <w:sz w:val="22"/>
          <w:szCs w:val="22"/>
          <w:color w:val="auto"/>
        </w:rPr>
      </w:pPr>
    </w:p>
    <w:p>
      <w:pPr>
        <w:ind w:left="940" w:right="280" w:hanging="932"/>
        <w:spacing w:after="0" w:line="185" w:lineRule="auto"/>
        <w:tabs>
          <w:tab w:leader="none" w:pos="94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disclosed in this Schedule 13D, the Reporting Person has not effected transactions in the Common Stock during the past 60 days.</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940" w:right="1660" w:hanging="931"/>
        <w:spacing w:after="0" w:line="281" w:lineRule="auto"/>
        <w:tabs>
          <w:tab w:leader="none" w:pos="92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None</w:t>
      </w:r>
    </w:p>
    <w:p>
      <w:pPr>
        <w:spacing w:after="0" w:line="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None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Salva Francisco D.</w:t>
      </w:r>
    </w:p>
    <w:p>
      <w:pPr>
        <w:spacing w:after="0" w:line="152"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Francisco D. Salva</w:t>
      </w:r>
    </w:p>
    <w:p>
      <w:pPr>
        <w:spacing w:after="0" w:line="4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Name/Title: Francisco D. Salva</w:t>
      </w:r>
    </w:p>
    <w:p>
      <w:pPr>
        <w:spacing w:after="0" w:line="44"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06/24/2026</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2026-06-24T07:31:53Z</dcterms:created>
  <dcterms:modified xsi:type="dcterms:W3CDTF">2026-06-24T07:31:53Z</dcterms:modified>
</cp:coreProperties>
</file>