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AZITRA,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5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001-41705</w:t>
            </w: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46-4478536</w:t>
            </w:r>
          </w:p>
        </w:tc>
      </w:tr>
      <w:tr>
        <w:trPr>
          <w:trHeight w:val="216"/>
        </w:trPr>
        <w:tc>
          <w:tcPr>
            <w:tcW w:w="25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5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incorporation)</w:t>
            </w:r>
          </w:p>
        </w:tc>
        <w:tc>
          <w:tcPr>
            <w:tcW w:w="4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520" w:type="dxa"/>
            <w:vAlign w:val="bottom"/>
          </w:tcPr>
          <w:p>
            <w:pPr>
              <w:spacing w:after="0"/>
              <w:rPr>
                <w:sz w:val="24"/>
                <w:szCs w:val="24"/>
                <w:color w:val="auto"/>
              </w:rPr>
            </w:pPr>
          </w:p>
        </w:tc>
        <w:tc>
          <w:tcPr>
            <w:tcW w:w="4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21 Business Park Drive</w:t>
            </w:r>
          </w:p>
        </w:tc>
        <w:tc>
          <w:tcPr>
            <w:tcW w:w="1960" w:type="dxa"/>
            <w:vAlign w:val="bottom"/>
          </w:tcPr>
          <w:p>
            <w:pPr>
              <w:spacing w:after="0"/>
              <w:rPr>
                <w:sz w:val="24"/>
                <w:szCs w:val="24"/>
                <w:color w:val="auto"/>
              </w:rPr>
            </w:pPr>
          </w:p>
        </w:tc>
      </w:tr>
      <w:tr>
        <w:trPr>
          <w:trHeight w:val="220"/>
        </w:trPr>
        <w:tc>
          <w:tcPr>
            <w:tcW w:w="2520" w:type="dxa"/>
            <w:vAlign w:val="bottom"/>
          </w:tcPr>
          <w:p>
            <w:pPr>
              <w:spacing w:after="0"/>
              <w:rPr>
                <w:sz w:val="19"/>
                <w:szCs w:val="19"/>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Branford, CT 06405</w:t>
            </w:r>
          </w:p>
        </w:tc>
        <w:tc>
          <w:tcPr>
            <w:tcW w:w="1960" w:type="dxa"/>
            <w:vAlign w:val="bottom"/>
          </w:tcPr>
          <w:p>
            <w:pPr>
              <w:spacing w:after="0"/>
              <w:rPr>
                <w:sz w:val="19"/>
                <w:szCs w:val="19"/>
                <w:color w:val="auto"/>
              </w:rPr>
            </w:pPr>
          </w:p>
        </w:tc>
      </w:tr>
      <w:tr>
        <w:trPr>
          <w:trHeight w:val="234"/>
        </w:trPr>
        <w:tc>
          <w:tcPr>
            <w:tcW w:w="2520" w:type="dxa"/>
            <w:vAlign w:val="bottom"/>
          </w:tcPr>
          <w:p>
            <w:pPr>
              <w:spacing w:after="0"/>
              <w:rPr>
                <w:sz w:val="20"/>
                <w:szCs w:val="20"/>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1960" w:type="dxa"/>
            <w:vAlign w:val="bottom"/>
          </w:tcPr>
          <w:p>
            <w:pPr>
              <w:spacing w:after="0"/>
              <w:rPr>
                <w:sz w:val="20"/>
                <w:szCs w:val="20"/>
                <w:color w:val="auto"/>
              </w:rPr>
            </w:pPr>
          </w:p>
        </w:tc>
      </w:tr>
      <w:tr>
        <w:trPr>
          <w:trHeight w:val="414"/>
        </w:trPr>
        <w:tc>
          <w:tcPr>
            <w:tcW w:w="2520" w:type="dxa"/>
            <w:vAlign w:val="bottom"/>
          </w:tcPr>
          <w:p>
            <w:pPr>
              <w:spacing w:after="0"/>
              <w:rPr>
                <w:sz w:val="24"/>
                <w:szCs w:val="24"/>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(203) 646-6446</w:t>
            </w:r>
          </w:p>
        </w:tc>
        <w:tc>
          <w:tcPr>
            <w:tcW w:w="196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w:t>
            </w:r>
          </w:p>
        </w:tc>
        <w:tc>
          <w:tcPr>
            <w:tcW w:w="22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AZTR</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 American</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 2025, Azitra, Inc. (the “Company”) received notification (the “Letter”) from the NYSE American LLC (the “NYSE American”) stating that the Company is not in compliance with the minimum stockholders’ equity requirement of Section 1003(a)(ii) of the NYSE American Company Guide (the “Company Guide”) requiring stockholders’ equity of $4.0 million or more if the Company has reported losses from continuing operations and/or net losses in three of the four most recent fiscal years. As of June 30, 2025, the Company had stockholders’ equity of $2.2 million and has had losses in three of its four most recent fiscal years ended December 31, 2024.</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now subject to the procedures and requirements of Section 1009 of the Company Guide. The Company has until October 31, 2025, to submit a plan (the “Plan”) of actions it has taken or will take to regain compliance with the continued listing standards by April 1, 2027. The Company intends to submit a plan to regain compliance with NYSE American listing standards. If the NYSE American accepts the Plan, the Company will be notified in writing and will be subject to periodic reviews including quarterly monitoring for compliance with the Plan. If the Company does not submit a Plan or if the Plan is not accepted by the NYSE American, delisting proceedings will commence. Additionally, if the Plan is accepted but the Company is not in compliance with the listing standards set forth in the Company Guide by April 1, 2027, or does not make progress consistent with the Plan during the plan period, then delisting proceedings will be initiated as appropriate.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appeal a staff delisting determination in accordance with Section 1010 and Part 12 of the Company Guide.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Letter has no immediate effect on the listing or trading of the Company’s common stock on the NYSE American. The Company’s receipt of the Letter from the NYSE American does not affect the Company’s business, operations or reporting requirements with the U.S.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3, 2025, the Company issued a press release relating to the matters described in Item 3.01 of this Current Report on Form 8-K, a copy of which is attached hereto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520" w:type="dxa"/>
            <w:vAlign w:val="bottom"/>
          </w:tcPr>
          <w:p>
            <w:pPr>
              <w:spacing w:after="0"/>
              <w:rPr>
                <w:sz w:val="20"/>
                <w:szCs w:val="20"/>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175"/>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10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October 3, 2025</w:t>
            </w: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0000EE"/>
            </w:tcBorders>
            <w:shd w:val="clear" w:color="auto" w:fill="CCEEFF"/>
          </w:tcPr>
          <w:p>
            <w:pPr>
              <w:spacing w:after="0" w:line="20" w:lineRule="exact"/>
              <w:rPr>
                <w:sz w:val="1"/>
                <w:szCs w:val="1"/>
                <w:color w:val="auto"/>
              </w:rPr>
            </w:pPr>
          </w:p>
        </w:tc>
        <w:tc>
          <w:tcPr>
            <w:tcW w:w="752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cautions you that statements included in this Current Report on Form 8-K that are not a description of historical facts are forward-looking statements. Words such as “believes,” “anticipates,” “plans,” “expects,” “indicates,” “will,” “intends,” “potential,” “suggests,” “assuming,” “designed” and similar expressions are intended to identify forward-looking statements. These statements are based on the Company’s current beliefs and expectations. These forward-looking statements include statements regarding the Company’s expectations regarding a period to comply with the Plan and applicable NYSE American requirements, and actions of the Company and/or the NYSE American to be taken with respect to matters discussed in the Letter. The inclusion of forward-looking statements should not be regarded as a representation by the Company that any of its plans will be achieved. Actual results may differ from those set forth in this Current Report on Form 8-K due to the risks and uncertainties associated with continued listing on the NYSE American, risks and uncertainties inherent in the Company’s business, and other risks described in the Company’s filings with the U.S. Securities and Exchange Commission. You are cautioned not to place undue reliance on these forward-looking statements, which speak only as of the date hereof, and the Company undertakes no obligation to revise or update this Current Report on Form 8-K to reflect events or circumstances after the date hereof. This caution is made under the safe harbor provisions of Section 21E of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AZITRA,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3, 2025</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Francisco Salva</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Francisco Salva</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Azitra Receives Notice of Non-Compliance from NYSE American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BRANFORD, Conn. - October 3, 2025 /PRNewswire/ - Azitra, Inc. (NYSE American: AZTR), a clinical stage biopharmaceutical company focused on developing innovative therapies for precision dermatology, today announced it received a notice from the staff of NYSE American LLC (the “Exchange”) that Azitra was not in compliance with the Exchange’s continued listing standards under Section 1003(a)(ii) of the NYSE American Company Guide. Section 1003(a)(ii) requires a listed company to have stockholders’ equity of $4 million or more if the listed company has reported losses from continuing operations and/or net losses in three of its four most recent fiscal years. Azitra is subject to the procedures and requirements of Section 1009 of the NYSE American Company Guide. Azitra has until October 31, 2025 to submit a plan (the “Plan”) of actions it has taken or will take to regain compliance with the continued listing standards by April 1, 2027.</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Azitra intends to timely deliver a Plan to the Exchange. If the Exchange accepts the Plan, Azitra will be notified in writing and will be subject to periodic reviews including quarterly monitoring for compliance with the Plan. Azitra is assessing and exploring multiple funding avenues and is committed to undertaking a transaction or transactions in the future to achieve compliance with the Exchange’s requirements.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Receipt of the notice from the Exchange has no immediate effect on the listing or trading of Azitra’s common stock on the Exchange, and does not affect Azitra’s business, operations or reporting requirements with the U.S.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Azitra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Azitra, Inc. is a clinical stage biopharmaceutical company focused on developing innovative therapies for precision dermatology. The Company’s lead program, ATR-12, uses an engineered strain of </w:t>
      </w:r>
      <w:r>
        <w:rPr>
          <w:rFonts w:ascii="Times New Roman" w:cs="Times New Roman" w:eastAsia="Times New Roman" w:hAnsi="Times New Roman"/>
          <w:sz w:val="18"/>
          <w:szCs w:val="18"/>
          <w:i w:val="1"/>
          <w:iCs w:val="1"/>
          <w:color w:val="auto"/>
        </w:rPr>
        <w:t>S. epidermidis</w:t>
      </w:r>
      <w:r>
        <w:rPr>
          <w:rFonts w:ascii="Times New Roman" w:cs="Times New Roman" w:eastAsia="Times New Roman" w:hAnsi="Times New Roman"/>
          <w:sz w:val="18"/>
          <w:szCs w:val="18"/>
          <w:color w:val="auto"/>
        </w:rPr>
        <w:t xml:space="preserve"> designed to treat Netherton syndrome, a rare, chronic skin disease with no approved treatment options. Netherton syndrome may be fatal in infancy with those living beyond a year having profound lifelong challenges. The ATR-12 program includes a Phase 1b clinical trial in adult Netherton syndrome patients. ATR-04, Azitra’s additional advanced program, utilizes another engineered strain of </w:t>
      </w:r>
      <w:r>
        <w:rPr>
          <w:rFonts w:ascii="Times New Roman" w:cs="Times New Roman" w:eastAsia="Times New Roman" w:hAnsi="Times New Roman"/>
          <w:sz w:val="18"/>
          <w:szCs w:val="18"/>
          <w:i w:val="1"/>
          <w:iCs w:val="1"/>
          <w:color w:val="auto"/>
        </w:rPr>
        <w:t xml:space="preserve">S. epidermidis </w:t>
      </w:r>
      <w:r>
        <w:rPr>
          <w:rFonts w:ascii="Times New Roman" w:cs="Times New Roman" w:eastAsia="Times New Roman" w:hAnsi="Times New Roman"/>
          <w:sz w:val="18"/>
          <w:szCs w:val="18"/>
          <w:color w:val="auto"/>
        </w:rPr>
        <w:t>for the treatment of EGFR inhibitor (“EGFRi”) associated rash. Azitra has received Fast Track designation from the FDA for EGFRi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associated rash, which impacts approximately 150,000 people in the U.S. Azitra has an open IND for its ATR-04 program in patients with EGFRi associated rash. The ATR-12 and ATR-04 programs were developed from Azitra’s proprietary platform of engineered proteins and topical live biotherapeutic products that includes a microbial library comprised of approximately 1,500 bacterial strains. The platform is augmented by artificial intelligence and machine learning technology that analyzes, predicts, and helps screen the library of strains for drug like molecules. For more information, please visit </w:t>
      </w:r>
      <w:r>
        <w:rPr>
          <w:rFonts w:ascii="Times New Roman" w:cs="Times New Roman" w:eastAsia="Times New Roman" w:hAnsi="Times New Roman"/>
          <w:sz w:val="18"/>
          <w:szCs w:val="18"/>
          <w:u w:val="single" w:color="auto"/>
          <w:color w:val="auto"/>
        </w:rPr>
        <w:t>https://azitrainc.com</w:t>
      </w:r>
      <w:r>
        <w:rPr>
          <w:rFonts w:ascii="Times New Roman" w:cs="Times New Roman" w:eastAsia="Times New Roman" w:hAnsi="Times New Roman"/>
          <w:sz w:val="18"/>
          <w:szCs w:val="18"/>
          <w:b w:val="1"/>
          <w:bCs w:val="1"/>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Azitra’s expectations regarding a period to comply with the Plan and applicable Exchange requirements, and actions of Azitra and/or the Exchange to be taken with respect to matters discussed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that we may experience delays in the dosing the first patient in this Phase 1/2 trial; our product candidates may not be effective; there may be delays in regulatory approval or changes in regulatory framework that are out of our control; our estimation of addressable markets of our product candidates may be inaccurate; we may fail to timely raise additional required funding; our actions and/or the Exchange’s actions to be taken with respect to matters discussed in the notice from the Exchange; more efficient competitors or more effective competing treatment may emerge; we may be involved in disputes surrounding the use of our intellectual property crucial to our success; we may not be able to attract and retain key employees and qualified personnel; earlier study results may not be predictive of later stage study outcomes; and we are dependent on third-parties for some or all aspects of our product manufacturing, research and preclinical and clinical testing. Additional risks concerning Azitra’s programs and operations are described or incorporated by reference in our annual report on Form 10-K filed with the SEC on February 24, 2025. Azitra explicitly disclaims any obligation to update any forward-looking statements except to the extent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Norman Staskey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staskey@azitrainc.com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Nugent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205-566-3026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jnugent@tiberend.com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Casey McDonald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646-577-8520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cmcdonald@tiberend.com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2025-10-03T16:04:17Z</dcterms:created>
  <dcterms:modified xsi:type="dcterms:W3CDTF">2025-10-03T16:04:17Z</dcterms:modified>
</cp:coreProperties>
</file>