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36"/>
          <w:u w:val="none"/>
          <w:effect w:val="none"/>
        </w:rPr>
      </w:pPr>
      <w:r>
        <w:rPr>
          <w:rFonts w:ascii="Times New Roman;Times;Serif" w:hAnsi="Times New Roman;Times;Serif"/>
          <w:b/>
          <w:i w:val="false"/>
          <w:caps w:val="false"/>
          <w:smallCaps w:val="false"/>
          <w:strike w:val="false"/>
          <w:dstrike w:val="false"/>
          <w:sz w:val="36"/>
          <w:u w:val="none"/>
          <w:effect w:val="none"/>
        </w:rPr>
        <w:t>UNITED STATES</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36"/>
          <w:u w:val="none"/>
          <w:effect w:val="none"/>
        </w:rPr>
      </w:pPr>
      <w:r>
        <w:rPr>
          <w:rFonts w:ascii="Times New Roman;Times;Serif" w:hAnsi="Times New Roman;Times;Serif"/>
          <w:b/>
          <w:i w:val="false"/>
          <w:caps w:val="false"/>
          <w:smallCaps w:val="false"/>
          <w:strike w:val="false"/>
          <w:dstrike w:val="false"/>
          <w:sz w:val="36"/>
          <w:u w:val="none"/>
          <w:effect w:val="none"/>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4"/>
          <w:u w:val="none"/>
          <w:effect w:val="none"/>
        </w:rPr>
      </w:pPr>
      <w:r>
        <w:rPr>
          <w:rFonts w:ascii="Times New Roman;Times;Serif" w:hAnsi="Times New Roman;Times;Serif"/>
          <w:b/>
          <w:i w:val="false"/>
          <w:caps w:val="false"/>
          <w:smallCaps w:val="false"/>
          <w:strike w:val="false"/>
          <w:dstrike w:val="false"/>
          <w:sz w:val="24"/>
          <w:u w:val="none"/>
          <w:effect w:val="none"/>
        </w:rPr>
        <w:t>Washington, D.C. 20549</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36"/>
          <w:u w:val="none"/>
          <w:effect w:val="none"/>
        </w:rPr>
      </w:pPr>
      <w:r>
        <w:rPr>
          <w:rFonts w:ascii="Times New Roman;Times;Serif" w:hAnsi="Times New Roman;Times;Serif"/>
          <w:b/>
          <w:i w:val="false"/>
          <w:caps w:val="false"/>
          <w:smallCaps w:val="false"/>
          <w:strike w:val="false"/>
          <w:dstrike w:val="false"/>
          <w:sz w:val="36"/>
          <w:u w:val="none"/>
          <w:effect w:val="none"/>
        </w:rPr>
        <w:t xml:space="preserve">FORM </w:t>
      </w:r>
      <w:bookmarkStart w:id="2" w:name="xdx_907_edei--DocumentType_c20261022__20"/>
      <w:bookmarkEnd w:id="2"/>
      <w:r>
        <w:rPr>
          <w:rFonts w:ascii="Times New Roman;Times;Serif" w:hAnsi="Times New Roman;Times;Serif"/>
          <w:b/>
          <w:i w:val="false"/>
          <w:caps w:val="false"/>
          <w:smallCaps w:val="false"/>
          <w:strike w:val="false"/>
          <w:dstrike w:val="false"/>
          <w:sz w:val="36"/>
          <w:u w:val="none"/>
          <w:effect w:val="none"/>
        </w:rPr>
        <w:t>8-K</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CURRENT REPORT</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of the Securities Exchange Act of 1934</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bookmarkStart w:id="3" w:name="xdx_905_edei--DocumentPeriodEndDate_c202"/>
      <w:bookmarkEnd w:id="3"/>
      <w:r>
        <w:rPr>
          <w:rFonts w:ascii="Times New Roman;Times;Serif" w:hAnsi="Times New Roman;Times;Serif"/>
          <w:b/>
          <w:i w:val="false"/>
          <w:caps w:val="false"/>
          <w:smallCaps w:val="false"/>
          <w:strike w:val="false"/>
          <w:dstrike w:val="false"/>
          <w:sz w:val="20"/>
          <w:u w:val="none"/>
          <w:effect w:val="none"/>
        </w:rPr>
        <w:t>October 22, 2026</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Date of Report (date of earliest event reported)</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36"/>
          <w:u w:val="none"/>
          <w:effect w:val="none"/>
        </w:rPr>
      </w:pPr>
      <w:bookmarkStart w:id="4" w:name="xdx_901_edei--EntityRegistrantName_c2026"/>
      <w:bookmarkEnd w:id="4"/>
      <w:r>
        <w:rPr>
          <w:rFonts w:ascii="Times New Roman;Times;Serif" w:hAnsi="Times New Roman;Times;Serif"/>
          <w:b/>
          <w:i w:val="false"/>
          <w:caps w:val="false"/>
          <w:smallCaps w:val="false"/>
          <w:strike w:val="false"/>
          <w:dstrike w:val="false"/>
          <w:sz w:val="36"/>
          <w:u w:val="none"/>
          <w:effect w:val="none"/>
        </w:rPr>
        <w:t>AZITRA, INC.</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(Exact name of registrant as specified in its charter)</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tbl>
      <w:tblPr>
        <w:tblW w:w="5895" w:type="dxa"/>
        <w:jc w:val="left"/>
        <w:tblInd w:w="0" w:type="dxa"/>
        <w:tblLayout w:type="fixed"/>
        <w:tblCellMar>
          <w:top w:w="0" w:type="dxa"/>
          <w:left w:w="0" w:type="dxa"/>
          <w:bottom w:w="0" w:type="dxa"/>
          <w:right w:w="0" w:type="dxa"/>
        </w:tblCellMar>
      </w:tblPr>
      <w:tblGrid>
        <w:gridCol w:w="2660"/>
        <w:gridCol w:w="60"/>
        <w:gridCol w:w="1145"/>
        <w:gridCol w:w="60"/>
        <w:gridCol w:w="1970"/>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trike w:val="false"/>
                <w:dstrike w:val="false"/>
                <w:sz w:val="20"/>
                <w:u w:val="none"/>
                <w:effect w:val="none"/>
              </w:rPr>
            </w:pPr>
            <w:bookmarkStart w:id="5" w:name="xdx_90E_edei--EntityIncorporationStateCo"/>
            <w:bookmarkEnd w:id="5"/>
            <w:r>
              <w:rPr>
                <w:rFonts w:ascii="Times New Roman;Times;Serif" w:hAnsi="Times New Roman;Times;Serif"/>
                <w:b/>
                <w:i w:val="false"/>
                <w:caps w:val="false"/>
                <w:smallCaps w:val="false"/>
                <w:strike w:val="false"/>
                <w:dstrike w:val="false"/>
                <w:sz w:val="20"/>
                <w:u w:val="none"/>
                <w:effect w:val="none"/>
              </w:rPr>
              <w:t>Delaware</w:t>
            </w:r>
          </w:p>
        </w:tc>
        <w:tc>
          <w:tcPr>
            <w:tcW w:w="60" w:type="dxa"/>
            <w:tcBorders/>
            <w:vAlign w:val="center"/>
          </w:tcPr>
          <w:p>
            <w:pPr>
              <w:pStyle w:val="TableContents"/>
              <w:bidi w:val="0"/>
              <w:spacing w:before="0" w:after="283"/>
              <w:jc w:val="center"/>
              <w:rPr>
                <w:caps w:val="false"/>
                <w:smallCaps w:val="false"/>
                <w:strike w:val="false"/>
                <w:dstrike w:val="false"/>
                <w:u w:val="none"/>
                <w:effect w:val="none"/>
              </w:rPr>
            </w:pPr>
            <w:r>
              <w:rPr>
                <w:caps w:val="false"/>
                <w:smallCaps w:val="false"/>
                <w:strike w:val="false"/>
                <w:dstrike w:val="false"/>
                <w:u w:val="none"/>
                <w:effect w:val="non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trike w:val="false"/>
                <w:dstrike w:val="false"/>
                <w:sz w:val="20"/>
                <w:u w:val="none"/>
                <w:effect w:val="none"/>
              </w:rPr>
            </w:pPr>
            <w:bookmarkStart w:id="6" w:name="xdx_900_edei--EntityFileNumber_c20261022"/>
            <w:bookmarkEnd w:id="6"/>
            <w:r>
              <w:rPr>
                <w:rFonts w:ascii="Times New Roman;Times;Serif" w:hAnsi="Times New Roman;Times;Serif"/>
                <w:b/>
                <w:i w:val="false"/>
                <w:caps w:val="false"/>
                <w:smallCaps w:val="false"/>
                <w:strike w:val="false"/>
                <w:dstrike w:val="false"/>
                <w:sz w:val="20"/>
                <w:u w:val="none"/>
                <w:effect w:val="none"/>
              </w:rPr>
              <w:t>001-41705</w:t>
            </w:r>
          </w:p>
        </w:tc>
        <w:tc>
          <w:tcPr>
            <w:tcW w:w="60" w:type="dxa"/>
            <w:tcBorders/>
            <w:vAlign w:val="center"/>
          </w:tcPr>
          <w:p>
            <w:pPr>
              <w:pStyle w:val="TableContents"/>
              <w:bidi w:val="0"/>
              <w:spacing w:before="0" w:after="283"/>
              <w:jc w:val="center"/>
              <w:rPr>
                <w:caps w:val="false"/>
                <w:smallCaps w:val="false"/>
                <w:strike w:val="false"/>
                <w:dstrike w:val="false"/>
                <w:u w:val="none"/>
                <w:effect w:val="none"/>
              </w:rPr>
            </w:pPr>
            <w:r>
              <w:rPr>
                <w:caps w:val="false"/>
                <w:smallCaps w:val="false"/>
                <w:strike w:val="false"/>
                <w:dstrike w:val="false"/>
                <w:u w:val="none"/>
                <w:effect w:val="non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trike w:val="false"/>
                <w:dstrike w:val="false"/>
                <w:sz w:val="20"/>
                <w:u w:val="none"/>
                <w:effect w:val="none"/>
              </w:rPr>
            </w:pPr>
            <w:bookmarkStart w:id="7" w:name="xdx_909_edei--EntityTaxIdentificationNum"/>
            <w:bookmarkEnd w:id="7"/>
            <w:r>
              <w:rPr>
                <w:rFonts w:ascii="Times New Roman;Times;Serif" w:hAnsi="Times New Roman;Times;Serif"/>
                <w:b/>
                <w:i w:val="false"/>
                <w:caps w:val="false"/>
                <w:smallCaps w:val="false"/>
                <w:strike w:val="false"/>
                <w:dstrike w:val="false"/>
                <w:sz w:val="20"/>
                <w:u w:val="none"/>
                <w:effect w:val="none"/>
              </w:rPr>
              <w:t>46-4478536</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incorporation or organization)</w:t>
            </w:r>
          </w:p>
        </w:tc>
        <w:tc>
          <w:tcPr>
            <w:tcW w:w="60" w:type="dxa"/>
            <w:tcBorders/>
            <w:vAlign w:val="center"/>
          </w:tcPr>
          <w:p>
            <w:pPr>
              <w:pStyle w:val="TableContents"/>
              <w:bidi w:val="0"/>
              <w:spacing w:before="0" w:after="283"/>
              <w:jc w:val="center"/>
              <w:rPr>
                <w:caps w:val="false"/>
                <w:smallCaps w:val="false"/>
                <w:strike w:val="false"/>
                <w:dstrike w:val="false"/>
                <w:u w:val="none"/>
                <w:effect w:val="none"/>
              </w:rPr>
            </w:pPr>
            <w:r>
              <w:rPr>
                <w:caps w:val="false"/>
                <w:smallCaps w:val="false"/>
                <w:strike w:val="false"/>
                <w:dstrike w:val="false"/>
                <w:u w:val="none"/>
                <w:effect w:val="non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(Commission</w:t>
            </w:r>
          </w:p>
          <w:p>
            <w:pPr>
              <w:pStyle w:val="TableContents"/>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File Number)</w:t>
            </w:r>
          </w:p>
        </w:tc>
        <w:tc>
          <w:tcPr>
            <w:tcW w:w="60" w:type="dxa"/>
            <w:tcBorders/>
            <w:vAlign w:val="center"/>
          </w:tcPr>
          <w:p>
            <w:pPr>
              <w:pStyle w:val="TableContents"/>
              <w:bidi w:val="0"/>
              <w:spacing w:before="0" w:after="283"/>
              <w:jc w:val="center"/>
              <w:rPr>
                <w:caps w:val="false"/>
                <w:smallCaps w:val="false"/>
                <w:strike w:val="false"/>
                <w:dstrike w:val="false"/>
                <w:u w:val="none"/>
                <w:effect w:val="none"/>
              </w:rPr>
            </w:pPr>
            <w:r>
              <w:rPr>
                <w:caps w:val="false"/>
                <w:smallCaps w:val="false"/>
                <w:strike w:val="false"/>
                <w:dstrike w:val="false"/>
                <w:u w:val="none"/>
                <w:effect w:val="none"/>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(I.R.S. Employer</w:t>
            </w:r>
          </w:p>
          <w:p>
            <w:pPr>
              <w:pStyle w:val="TableContents"/>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Identification Number)</w:t>
            </w:r>
          </w:p>
        </w:tc>
      </w:tr>
    </w:tbl>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bookmarkStart w:id="8" w:name="xdx_90F_edei--EntityAddressAddressLine1_"/>
      <w:bookmarkEnd w:id="8"/>
      <w:r>
        <w:rPr>
          <w:rFonts w:ascii="Times New Roman;Times;Serif" w:hAnsi="Times New Roman;Times;Serif"/>
          <w:b/>
          <w:i w:val="false"/>
          <w:caps w:val="false"/>
          <w:smallCaps w:val="false"/>
          <w:strike w:val="false"/>
          <w:dstrike w:val="false"/>
          <w:sz w:val="20"/>
          <w:u w:val="none"/>
          <w:effect w:val="none"/>
        </w:rPr>
        <w:t>21 Business Park Drive</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bookmarkStart w:id="9" w:name="xdx_90C_edei--EntityAddressCityOrTown_c2"/>
      <w:bookmarkEnd w:id="9"/>
      <w:r>
        <w:rPr>
          <w:rFonts w:ascii="Times New Roman;Times;Serif" w:hAnsi="Times New Roman;Times;Serif"/>
          <w:b/>
          <w:i w:val="false"/>
          <w:caps w:val="false"/>
          <w:smallCaps w:val="false"/>
          <w:strike w:val="false"/>
          <w:dstrike w:val="false"/>
          <w:sz w:val="20"/>
          <w:u w:val="none"/>
          <w:effect w:val="none"/>
        </w:rPr>
        <w:t xml:space="preserve">Branford, </w:t>
      </w:r>
      <w:bookmarkStart w:id="10" w:name="xdx_909_edei--EntityAddressStateOrProvin"/>
      <w:bookmarkEnd w:id="10"/>
      <w:r>
        <w:rPr>
          <w:rFonts w:ascii="Times New Roman;Times;Serif" w:hAnsi="Times New Roman;Times;Serif"/>
          <w:b/>
          <w:i w:val="false"/>
          <w:caps w:val="false"/>
          <w:smallCaps w:val="false"/>
          <w:strike w:val="false"/>
          <w:dstrike w:val="false"/>
          <w:sz w:val="20"/>
          <w:u w:val="none"/>
          <w:effect w:val="none"/>
        </w:rPr>
        <w:t xml:space="preserve">CT </w:t>
      </w:r>
      <w:bookmarkStart w:id="11" w:name="xdx_909_edei--EntityAddressPostalZipCode"/>
      <w:bookmarkEnd w:id="11"/>
      <w:r>
        <w:rPr>
          <w:rFonts w:ascii="Times New Roman;Times;Serif" w:hAnsi="Times New Roman;Times;Serif"/>
          <w:b/>
          <w:i w:val="false"/>
          <w:caps w:val="false"/>
          <w:smallCaps w:val="false"/>
          <w:strike w:val="false"/>
          <w:dstrike w:val="false"/>
          <w:sz w:val="20"/>
          <w:u w:val="none"/>
          <w:effect w:val="none"/>
        </w:rPr>
        <w:t>06405</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(Address of principal executive offices and zip code)</w:t>
      </w:r>
    </w:p>
    <w:p>
      <w:pPr>
        <w:pStyle w:val="TextBody"/>
        <w:bidi w:val="0"/>
        <w:spacing w:before="0" w:after="0"/>
        <w:ind w:left="25"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5" w:right="0" w:hanging="0"/>
        <w:jc w:val="center"/>
        <w:rPr>
          <w:rFonts w:ascii="Times New Roman;Times;Serif" w:hAnsi="Times New Roman;Times;Serif"/>
          <w:b/>
          <w:i w:val="false"/>
          <w:caps w:val="false"/>
          <w:smallCaps w:val="false"/>
          <w:strike w:val="false"/>
          <w:dstrike w:val="false"/>
          <w:sz w:val="20"/>
          <w:u w:val="none"/>
          <w:effect w:val="none"/>
        </w:rPr>
      </w:pPr>
      <w:bookmarkStart w:id="12" w:name="xdx_903_edei--CityAreaCode_c20261022__20"/>
      <w:bookmarkEnd w:id="12"/>
      <w:r>
        <w:rPr>
          <w:rFonts w:ascii="Times New Roman;Times;Serif" w:hAnsi="Times New Roman;Times;Serif"/>
          <w:b/>
          <w:i w:val="false"/>
          <w:caps w:val="false"/>
          <w:smallCaps w:val="false"/>
          <w:strike w:val="false"/>
          <w:dstrike w:val="false"/>
          <w:sz w:val="20"/>
          <w:u w:val="none"/>
          <w:effect w:val="none"/>
        </w:rPr>
        <w:t xml:space="preserve">(203) </w:t>
      </w:r>
      <w:bookmarkStart w:id="13" w:name="xdx_90F_edei--LocalPhoneNumber_c20261022"/>
      <w:bookmarkEnd w:id="13"/>
      <w:r>
        <w:rPr>
          <w:rFonts w:ascii="Times New Roman;Times;Serif" w:hAnsi="Times New Roman;Times;Serif"/>
          <w:b/>
          <w:i w:val="false"/>
          <w:caps w:val="false"/>
          <w:smallCaps w:val="false"/>
          <w:strike w:val="false"/>
          <w:dstrike w:val="false"/>
          <w:sz w:val="20"/>
          <w:u w:val="none"/>
          <w:effect w:val="none"/>
        </w:rPr>
        <w:t>646-6446</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(Registrant’s telephone number, including area code)</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25"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(Former name or former address, if changed since last report.)</w:t>
      </w:r>
    </w:p>
    <w:p>
      <w:pPr>
        <w:pStyle w:val="TextBody"/>
        <w:bidi w:val="0"/>
        <w:spacing w:before="0" w:after="0"/>
        <w:ind w:left="25"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25"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9565" w:type="dxa"/>
        <w:jc w:val="left"/>
        <w:tblInd w:w="0" w:type="dxa"/>
        <w:tblLayout w:type="fixed"/>
        <w:tblCellMar>
          <w:top w:w="0" w:type="dxa"/>
          <w:left w:w="0" w:type="dxa"/>
          <w:bottom w:w="0" w:type="dxa"/>
          <w:right w:w="0" w:type="dxa"/>
        </w:tblCellMar>
      </w:tblPr>
      <w:tblGrid>
        <w:gridCol w:w="245"/>
        <w:gridCol w:w="9320"/>
      </w:tblGrid>
      <w:tr>
        <w:trPr/>
        <w:tc>
          <w:tcPr>
            <w:tcW w:w="245" w:type="dxa"/>
            <w:tcBorders/>
            <w:vAlign w:val="center"/>
          </w:tcPr>
          <w:p>
            <w:pPr>
              <w:pStyle w:val="TableContents"/>
              <w:bidi w:val="0"/>
              <w:spacing w:before="0" w:after="283"/>
              <w:jc w:val="left"/>
              <w:rPr>
                <w:caps w:val="false"/>
                <w:smallCaps w:val="false"/>
                <w:strike w:val="false"/>
                <w:dstrike w:val="false"/>
                <w:u w:val="none"/>
                <w:effect w:val="none"/>
              </w:rPr>
            </w:pPr>
            <w:bookmarkStart w:id="14" w:name="xdx_908_edei--WrittenCommunications_c202"/>
            <w:bookmarkEnd w:id="14"/>
            <w:r>
              <w:rPr>
                <w:caps w:val="false"/>
                <w:smallCaps w:val="false"/>
                <w:strike w:val="false"/>
                <w:dstrike w:val="false"/>
                <w:u w:val="none"/>
                <w:effect w:val="none"/>
              </w:rPr>
              <w:t>☐</w:t>
            </w:r>
          </w:p>
        </w:tc>
        <w:tc>
          <w:tcPr>
            <w:tcW w:w="9320" w:type="dxa"/>
            <w:tcBorders/>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9320"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r>
      <w:tr>
        <w:trPr/>
        <w:tc>
          <w:tcPr>
            <w:tcW w:w="245" w:type="dxa"/>
            <w:tcBorders/>
            <w:vAlign w:val="center"/>
          </w:tcPr>
          <w:p>
            <w:pPr>
              <w:pStyle w:val="TableContents"/>
              <w:bidi w:val="0"/>
              <w:spacing w:before="0" w:after="283"/>
              <w:jc w:val="left"/>
              <w:rPr>
                <w:caps w:val="false"/>
                <w:smallCaps w:val="false"/>
                <w:strike w:val="false"/>
                <w:dstrike w:val="false"/>
                <w:u w:val="none"/>
                <w:effect w:val="none"/>
              </w:rPr>
            </w:pPr>
            <w:bookmarkStart w:id="15" w:name="xdx_904_edei--SolicitingMaterial_c202610"/>
            <w:bookmarkEnd w:id="15"/>
            <w:r>
              <w:rPr>
                <w:caps w:val="false"/>
                <w:smallCaps w:val="false"/>
                <w:strike w:val="false"/>
                <w:dstrike w:val="false"/>
                <w:u w:val="none"/>
                <w:effect w:val="none"/>
              </w:rPr>
              <w:t>☐</w:t>
            </w:r>
          </w:p>
        </w:tc>
        <w:tc>
          <w:tcPr>
            <w:tcW w:w="9320" w:type="dxa"/>
            <w:tcBorders/>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9320"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r>
      <w:tr>
        <w:trPr/>
        <w:tc>
          <w:tcPr>
            <w:tcW w:w="245" w:type="dxa"/>
            <w:tcBorders/>
            <w:vAlign w:val="center"/>
          </w:tcPr>
          <w:p>
            <w:pPr>
              <w:pStyle w:val="TableContents"/>
              <w:bidi w:val="0"/>
              <w:spacing w:before="0" w:after="283"/>
              <w:jc w:val="left"/>
              <w:rPr>
                <w:caps w:val="false"/>
                <w:smallCaps w:val="false"/>
                <w:strike w:val="false"/>
                <w:dstrike w:val="false"/>
                <w:u w:val="none"/>
                <w:effect w:val="none"/>
              </w:rPr>
            </w:pPr>
            <w:bookmarkStart w:id="16" w:name="xdx_907_edei--PreCommencementTenderOffer"/>
            <w:bookmarkEnd w:id="16"/>
            <w:r>
              <w:rPr>
                <w:caps w:val="false"/>
                <w:smallCaps w:val="false"/>
                <w:strike w:val="false"/>
                <w:dstrike w:val="false"/>
                <w:u w:val="none"/>
                <w:effect w:val="none"/>
              </w:rPr>
              <w:t>☐</w:t>
            </w:r>
          </w:p>
        </w:tc>
        <w:tc>
          <w:tcPr>
            <w:tcW w:w="9320" w:type="dxa"/>
            <w:tcBorders/>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9320"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r>
      <w:tr>
        <w:trPr/>
        <w:tc>
          <w:tcPr>
            <w:tcW w:w="245" w:type="dxa"/>
            <w:tcBorders/>
            <w:vAlign w:val="center"/>
          </w:tcPr>
          <w:p>
            <w:pPr>
              <w:pStyle w:val="TableContents"/>
              <w:bidi w:val="0"/>
              <w:spacing w:before="0" w:after="283"/>
              <w:jc w:val="left"/>
              <w:rPr>
                <w:caps w:val="false"/>
                <w:smallCaps w:val="false"/>
                <w:strike w:val="false"/>
                <w:dstrike w:val="false"/>
                <w:u w:val="none"/>
                <w:effect w:val="none"/>
              </w:rPr>
            </w:pPr>
            <w:bookmarkStart w:id="17" w:name="xdx_904_edei--PreCommencementIssuerTende"/>
            <w:bookmarkEnd w:id="17"/>
            <w:r>
              <w:rPr>
                <w:caps w:val="false"/>
                <w:smallCaps w:val="false"/>
                <w:strike w:val="false"/>
                <w:dstrike w:val="false"/>
                <w:u w:val="none"/>
                <w:effect w:val="none"/>
              </w:rPr>
              <w:t>☐</w:t>
            </w:r>
          </w:p>
        </w:tc>
        <w:tc>
          <w:tcPr>
            <w:tcW w:w="9320" w:type="dxa"/>
            <w:tcBorders/>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Pre-commencement communications pursuant to Rule 13e-4(c) under the Exchange Act (17 CFR 240.13e-4(c))</w:t>
            </w:r>
          </w:p>
        </w:tc>
      </w:tr>
    </w:tbl>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Securities registered pursuant to Section 12(b) of the Act:</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8190" w:type="dxa"/>
        <w:jc w:val="left"/>
        <w:tblInd w:w="0" w:type="dxa"/>
        <w:tblLayout w:type="fixed"/>
        <w:tblCellMar>
          <w:top w:w="0" w:type="dxa"/>
          <w:left w:w="0" w:type="dxa"/>
          <w:bottom w:w="28" w:type="dxa"/>
          <w:right w:w="0" w:type="dxa"/>
        </w:tblCellMar>
      </w:tblPr>
      <w:tblGrid>
        <w:gridCol w:w="2945"/>
        <w:gridCol w:w="60"/>
        <w:gridCol w:w="1415"/>
        <w:gridCol w:w="60"/>
        <w:gridCol w:w="3710"/>
      </w:tblGrid>
      <w:tr>
        <w:trPr/>
        <w:tc>
          <w:tcPr>
            <w:tcW w:w="29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Title of each class</w:t>
            </w:r>
          </w:p>
        </w:tc>
        <w:tc>
          <w:tcPr>
            <w:tcW w:w="60" w:type="dxa"/>
            <w:tcBorders/>
            <w:tcMar>
              <w:bottom w:w="0" w:type="dxa"/>
            </w:tcMar>
            <w:vAlign w:val="center"/>
          </w:tcPr>
          <w:p>
            <w:pPr>
              <w:pStyle w:val="TableContents"/>
              <w:bidi w:val="0"/>
              <w:spacing w:before="0" w:after="283"/>
              <w:jc w:val="center"/>
              <w:rPr>
                <w:caps w:val="false"/>
                <w:smallCaps w:val="false"/>
                <w:strike w:val="false"/>
                <w:dstrike w:val="false"/>
                <w:u w:val="none"/>
                <w:effect w:val="none"/>
              </w:rPr>
            </w:pPr>
            <w:r>
              <w:rPr>
                <w:caps w:val="false"/>
                <w:smallCaps w:val="false"/>
                <w:strike w:val="false"/>
                <w:dstrike w:val="false"/>
                <w:u w:val="none"/>
                <w:effect w:val="none"/>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Trading Symbol</w:t>
            </w:r>
          </w:p>
        </w:tc>
        <w:tc>
          <w:tcPr>
            <w:tcW w:w="60" w:type="dxa"/>
            <w:tcBorders/>
            <w:tcMar>
              <w:bottom w:w="0" w:type="dxa"/>
            </w:tcMar>
            <w:vAlign w:val="center"/>
          </w:tcPr>
          <w:p>
            <w:pPr>
              <w:pStyle w:val="TableContents"/>
              <w:bidi w:val="0"/>
              <w:spacing w:before="0" w:after="283"/>
              <w:jc w:val="center"/>
              <w:rPr>
                <w:caps w:val="false"/>
                <w:smallCaps w:val="false"/>
                <w:strike w:val="false"/>
                <w:dstrike w:val="false"/>
                <w:u w:val="none"/>
                <w:effect w:val="none"/>
              </w:rPr>
            </w:pPr>
            <w:r>
              <w:rPr>
                <w:caps w:val="false"/>
                <w:smallCaps w:val="false"/>
                <w:strike w:val="false"/>
                <w:dstrike w:val="false"/>
                <w:u w:val="none"/>
                <w:effect w:val="non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Name of each exchange on which registered</w:t>
            </w:r>
          </w:p>
        </w:tc>
      </w:tr>
      <w:tr>
        <w:trPr/>
        <w:tc>
          <w:tcPr>
            <w:tcW w:w="294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trike w:val="false"/>
                <w:dstrike w:val="false"/>
                <w:sz w:val="20"/>
                <w:u w:val="none"/>
                <w:effect w:val="none"/>
              </w:rPr>
            </w:pPr>
            <w:bookmarkStart w:id="18" w:name="xdx_900_edei--Security12bTitle_c20261022"/>
            <w:bookmarkEnd w:id="18"/>
            <w:r>
              <w:rPr>
                <w:rFonts w:ascii="Times New Roman;Times;Serif" w:hAnsi="Times New Roman;Times;Serif"/>
                <w:b/>
                <w:i w:val="false"/>
                <w:caps w:val="false"/>
                <w:smallCaps w:val="false"/>
                <w:strike w:val="false"/>
                <w:dstrike w:val="false"/>
                <w:sz w:val="20"/>
                <w:u w:val="none"/>
                <w:effect w:val="none"/>
              </w:rPr>
              <w:t>Common Stock, par value $0.0001</w:t>
            </w:r>
          </w:p>
        </w:tc>
        <w:tc>
          <w:tcPr>
            <w:tcW w:w="60" w:type="dxa"/>
            <w:tcBorders/>
            <w:tcMar>
              <w:bottom w:w="0" w:type="dxa"/>
            </w:tcMar>
            <w:vAlign w:val="center"/>
          </w:tcPr>
          <w:p>
            <w:pPr>
              <w:pStyle w:val="TableContents"/>
              <w:bidi w:val="0"/>
              <w:spacing w:before="0" w:after="283"/>
              <w:jc w:val="center"/>
              <w:rPr>
                <w:caps w:val="false"/>
                <w:smallCaps w:val="false"/>
                <w:strike w:val="false"/>
                <w:dstrike w:val="false"/>
                <w:u w:val="none"/>
                <w:effect w:val="none"/>
              </w:rPr>
            </w:pPr>
            <w:r>
              <w:rPr>
                <w:caps w:val="false"/>
                <w:smallCaps w:val="false"/>
                <w:strike w:val="false"/>
                <w:dstrike w:val="false"/>
                <w:u w:val="none"/>
                <w:effect w:val="none"/>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trike w:val="false"/>
                <w:dstrike w:val="false"/>
                <w:sz w:val="20"/>
                <w:u w:val="none"/>
                <w:effect w:val="none"/>
              </w:rPr>
            </w:pPr>
            <w:bookmarkStart w:id="19" w:name="xdx_90E_edei--TradingSymbol_c20261022__2"/>
            <w:bookmarkEnd w:id="19"/>
            <w:r>
              <w:rPr>
                <w:rFonts w:ascii="Times New Roman;Times;Serif" w:hAnsi="Times New Roman;Times;Serif"/>
                <w:b/>
                <w:i w:val="false"/>
                <w:caps w:val="false"/>
                <w:smallCaps w:val="false"/>
                <w:strike w:val="false"/>
                <w:dstrike w:val="false"/>
                <w:sz w:val="20"/>
                <w:u w:val="none"/>
                <w:effect w:val="none"/>
              </w:rPr>
              <w:t>AZTR</w:t>
            </w:r>
          </w:p>
        </w:tc>
        <w:tc>
          <w:tcPr>
            <w:tcW w:w="60" w:type="dxa"/>
            <w:tcBorders/>
            <w:tcMar>
              <w:bottom w:w="0" w:type="dxa"/>
            </w:tcMar>
            <w:vAlign w:val="center"/>
          </w:tcPr>
          <w:p>
            <w:pPr>
              <w:pStyle w:val="TableContents"/>
              <w:bidi w:val="0"/>
              <w:spacing w:before="0" w:after="283"/>
              <w:jc w:val="center"/>
              <w:rPr>
                <w:caps w:val="false"/>
                <w:smallCaps w:val="false"/>
                <w:strike w:val="false"/>
                <w:dstrike w:val="false"/>
                <w:u w:val="none"/>
                <w:effect w:val="none"/>
              </w:rPr>
            </w:pPr>
            <w:r>
              <w:rPr>
                <w:caps w:val="false"/>
                <w:smallCaps w:val="false"/>
                <w:strike w:val="false"/>
                <w:dstrike w:val="false"/>
                <w:u w:val="none"/>
                <w:effect w:val="non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trike w:val="false"/>
                <w:dstrike w:val="false"/>
                <w:sz w:val="20"/>
                <w:u w:val="none"/>
                <w:effect w:val="none"/>
              </w:rPr>
            </w:pPr>
            <w:bookmarkStart w:id="20" w:name="xdx_902_edei--SecurityExchangeName_c2026"/>
            <w:bookmarkEnd w:id="20"/>
            <w:r>
              <w:rPr>
                <w:rFonts w:ascii="Times New Roman;Times;Serif" w:hAnsi="Times New Roman;Times;Serif"/>
                <w:b/>
                <w:i w:val="false"/>
                <w:caps w:val="false"/>
                <w:smallCaps w:val="false"/>
                <w:strike w:val="false"/>
                <w:dstrike w:val="false"/>
                <w:sz w:val="20"/>
                <w:u w:val="none"/>
                <w:effect w:val="none"/>
              </w:rPr>
              <w:t>NYSE American</w:t>
            </w:r>
          </w:p>
        </w:tc>
      </w:tr>
    </w:tbl>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val="false"/>
          <w:dstrike w:val="false"/>
          <w:sz w:val="20"/>
          <w:u w:val="none"/>
          <w:effect w:val="none"/>
          <w:shd w:fill="FFFFFF" w:val="clear"/>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A_edei--EntityExTransitionPeriod_c"/>
      <w:bookmarkEnd w:id="22"/>
      <w:r>
        <w:rPr>
          <w:rFonts w:ascii="Times New Roman;Times;Serif" w:hAnsi="Times New Roman;Times;Serif"/>
          <w:b w:val="false"/>
          <w:i w:val="false"/>
          <w:caps w:val="false"/>
          <w:smallCaps w:val="false"/>
          <w:strike w:val="false"/>
          <w:dstrike w:val="false"/>
          <w:sz w:val="20"/>
          <w:u w:val="none"/>
          <w:effect w:val="none"/>
        </w:rPr>
        <w:t>☐</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Item 3.03 Material Modification to Rights of Security Holders.</w:t>
      </w:r>
    </w:p>
    <w:p>
      <w:pPr>
        <w:pStyle w:val="TextBody"/>
        <w:shd w:fill="FFFFFF" w:val="clea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To the extent required by Item 3.03 of Form 8-K, the information contained in Item 5.03 of this Current Report on Form 8-K (the “Current Report”) is incorporated herein by reference.</w:t>
      </w:r>
    </w:p>
    <w:p>
      <w:pPr>
        <w:pStyle w:val="TextBody"/>
        <w:shd w:fill="FFFFFF" w:val="clea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Item 5.03. Amendments to Articles of Incorporation or Bylaws; Change in Fiscal Year.</w:t>
      </w:r>
    </w:p>
    <w:p>
      <w:pPr>
        <w:pStyle w:val="TextBody"/>
        <w:shd w:fill="FFFFFF" w:val="clea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On October 22, 2026, Azitra, Inc. (the “Company”) filed a certificate of amendment to the Company’s Second Amended and Restated Certificate of Incorporation (the “Amendment”) with the Secretary of State of the State of Delaware to effectuate a 1-for-10 reverse stock split (the “Reverse Stock Split”) of the outstanding shares of the Company’s common stock (“Common Stock”). At the Company’s annual meeting of stockholders held on June 15, 2026, the Company’s stockholders approved an amendment to the Company’s certificate of incorporation to effect reverse stock splits of the Common Stock at a ratio of not less than 1 for 2 and not more than 1 for 30, with the exact ratio for each reverse stock split within such range to be determined by the Board of Directors in its sole discretion.</w:t>
      </w:r>
    </w:p>
    <w:p>
      <w:pPr>
        <w:pStyle w:val="TextBody"/>
        <w:shd w:fill="FFFFFF" w:val="clea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Reverse Stock Split will become effective on October 26, 2026 at 12:01 a.m., Eastern Time (the “Effective Time”) and the Common Stock is expected to begin trading on the NYSE American on a Reverse Stock Split-adjusted basis on October 26, 2026 at market open. As of the Effective Time, every 10 shares of the Company’s issued and outstanding Common Stock will be combined into one share of Common Stock.</w:t>
      </w:r>
    </w:p>
    <w:p>
      <w:pPr>
        <w:pStyle w:val="TextBody"/>
        <w:shd w:fill="FFFFFF" w:val="clea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par value and other terms of the Common Stock will not be affected by the Reverse Stock Split. The Company’s post-Reverse Stock Split Common Stock CUSIP number will be 05479L401.</w:t>
      </w:r>
    </w:p>
    <w:p>
      <w:pPr>
        <w:pStyle w:val="TextBody"/>
        <w:shd w:fill="FFFFFF" w:val="clea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No fractional shares will be issued as a result of the Reverse Stock Split. Stockholders of record who would otherwise be entitled to receive a fractional share of Common Stock will receive a cash payment in lieu thereof at a price equal to (i) the average closing price of the Common Stock for the five trading days immediately preceding October 26, 2026, multiplied by (ii) the number of shares of Common Stock outstanding immediately prior to effectiveness of the Reverse Stock Split that were reclassified into such fractional share pursuant to the Reverse Stock Split.</w:t>
      </w:r>
    </w:p>
    <w:p>
      <w:pPr>
        <w:pStyle w:val="TextBody"/>
        <w:shd w:fill="FFFFFF" w:val="clea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foregoing description of the Amendment is qualified in its entirety by reference to the Amendment, a copy of which is filed as Exhibit 3.1 to this Current Report and is incorporated herein by reference.</w:t>
      </w:r>
    </w:p>
    <w:p>
      <w:pPr>
        <w:pStyle w:val="TextBody"/>
        <w:shd w:fill="FFFFFF" w:val="clea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trike w:val="false"/>
          <w:dstrike w:val="false"/>
          <w:sz w:val="20"/>
          <w:u w:val="none"/>
          <w:effect w:val="none"/>
        </w:rPr>
      </w:pPr>
      <w:r>
        <w:rPr>
          <w:rFonts w:ascii="Times New Roman;Times;Serif" w:hAnsi="Times New Roman;Times;Serif"/>
          <w:b w:val="false"/>
          <w:i/>
          <w:caps w:val="false"/>
          <w:smallCaps w:val="false"/>
          <w:strike w:val="false"/>
          <w:dstrike w:val="false"/>
          <w:sz w:val="20"/>
          <w:u w:val="none"/>
          <w:effect w:val="none"/>
        </w:rPr>
        <w:t>Forward-Looking Statements</w:t>
      </w:r>
    </w:p>
    <w:p>
      <w:pPr>
        <w:pStyle w:val="TextBody"/>
        <w:shd w:fill="FFFFFF" w:val="clear"/>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This Current Report includes forward-looking statements. These statements are made under the “safe harbor” provisions of the U.S. Private Securities Litigation Reform Act of 1995. These statements may be identified by words such as “will” and “expected”, or the negative of such terms, or other comparable terminology, and include statements about the Reverse Stock Split and the impacts, if any, on the Company’s Common Stock. Forward-looking statements are statements that are not historical facts. Such forward-looking statements are not guarantees of future performance and are subject to risks and uncertainties, which could cause actual results to differ materially from the forward-looking statements contained herein due to many factors. These forward-looking statements and such risks, uncertainties and other factors speak only as of the date of this Current Report, and the Company expressly disclaims any obligation or undertaking to update or revise and forward-looking statement contained herein, or to reflect any change in the Company’s expectations with regard thereto or any other change in events, conditions, or circumstances on which any such statement is based, except to the extent otherwise required by applicable law.</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Item 9.01 - Financial Statements and Exhibits</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 The following exhibits are being filed electronically herewith:</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8260" w:type="dxa"/>
        <w:jc w:val="left"/>
        <w:tblInd w:w="0" w:type="dxa"/>
        <w:tblLayout w:type="fixed"/>
        <w:tblCellMar>
          <w:top w:w="0" w:type="dxa"/>
          <w:left w:w="0" w:type="dxa"/>
          <w:bottom w:w="28" w:type="dxa"/>
          <w:right w:w="0" w:type="dxa"/>
        </w:tblCellMar>
      </w:tblPr>
      <w:tblGrid>
        <w:gridCol w:w="980"/>
        <w:gridCol w:w="60"/>
        <w:gridCol w:w="7220"/>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Exhibit No.</w:t>
            </w:r>
          </w:p>
        </w:tc>
        <w:tc>
          <w:tcPr>
            <w:tcW w:w="60" w:type="dxa"/>
            <w:tcBorders/>
            <w:tcMar>
              <w:bottom w:w="0" w:type="dxa"/>
            </w:tcM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72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Description</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7220" w:type="dxa"/>
            <w:tcBorders/>
            <w:shd w:fill="CCEEFF" w:val="clear"/>
            <w:tcMar>
              <w:bottom w:w="0" w:type="dxa"/>
            </w:tcMar>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trike w:val="false"/>
                  <w:dstrike w:val="false"/>
                  <w:sz w:val="20"/>
                  <w:u w:val="none"/>
                  <w:effect w:val="none"/>
                </w:rPr>
                <w:t>Certificate of Amendment filed with the Delaware Secretary of State on October 22, 2026</w:t>
              </w:r>
            </w:hyperlink>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72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Cover Page Interactive Data File (embedded within the Inline XBRL document)</w:t>
            </w:r>
          </w:p>
        </w:tc>
      </w:tr>
    </w:tbl>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SIGNATURE</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Pursuant to the requirements of the Securities Exchange Act of 1934, the Registrant has duly caused this report to be signed on its behalf by the undersigned hereunto duly authorized on October 22, 2026.</w:t>
      </w:r>
    </w:p>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AZITRA, INC.</w:t>
            </w:r>
          </w:p>
        </w:tc>
      </w:tr>
      <w:tr>
        <w:trPr/>
        <w:tc>
          <w:tcPr>
            <w:tcW w:w="7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54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195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r>
      <w:tr>
        <w:trPr/>
        <w:tc>
          <w:tcPr>
            <w:tcW w:w="7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By:</w:t>
            </w:r>
          </w:p>
        </w:tc>
        <w:tc>
          <w:tcPr>
            <w:tcW w:w="1955" w:type="dxa"/>
            <w:tcBorders/>
            <w:vAlign w:val="center"/>
          </w:tcPr>
          <w:p>
            <w:pPr>
              <w:pStyle w:val="TableContents"/>
              <w:bidi w:val="0"/>
              <w:spacing w:before="0" w:after="283"/>
              <w:jc w:val="left"/>
              <w:rPr>
                <w:rFonts w:ascii="Times New Roman;Times;Serif" w:hAnsi="Times New Roman;Times;Serif"/>
                <w:b w:val="false"/>
                <w:i/>
                <w:caps w:val="false"/>
                <w:smallCaps w:val="false"/>
                <w:strike w:val="false"/>
                <w:dstrike w:val="false"/>
                <w:sz w:val="20"/>
                <w:u w:val="none"/>
                <w:effect w:val="none"/>
              </w:rPr>
            </w:pPr>
            <w:r>
              <w:rPr>
                <w:rFonts w:ascii="Times New Roman;Times;Serif" w:hAnsi="Times New Roman;Times;Serif"/>
                <w:b w:val="false"/>
                <w:i/>
                <w:caps w:val="false"/>
                <w:smallCaps w:val="false"/>
                <w:strike w:val="false"/>
                <w:dstrike w:val="false"/>
                <w:sz w:val="20"/>
                <w:u w:val="none"/>
                <w:effect w:val="none"/>
              </w:rPr>
              <w:t>/s/ Francisco D. Salva</w:t>
            </w:r>
          </w:p>
        </w:tc>
      </w:tr>
      <w:tr>
        <w:trPr/>
        <w:tc>
          <w:tcPr>
            <w:tcW w:w="7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Name:</w:t>
            </w:r>
          </w:p>
        </w:tc>
        <w:tc>
          <w:tcPr>
            <w:tcW w:w="195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Francisco D. Salva</w:t>
            </w:r>
          </w:p>
        </w:tc>
      </w:tr>
      <w:tr>
        <w:trPr/>
        <w:tc>
          <w:tcPr>
            <w:tcW w:w="7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Chief Executive Officer</w:t>
            </w:r>
          </w:p>
        </w:tc>
      </w:tr>
    </w:tbl>
    <w:p>
      <w:pPr>
        <w:pStyle w:val="TextBody"/>
        <w:bidi w:val="0"/>
        <w:spacing w:before="0" w:after="0"/>
        <w:ind w:left="0" w:right="0" w:hanging="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3" w:name="ex3-1.htm"/>
      <w:bookmarkStart w:id="24" w:name="ksex3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AZITRA,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 a corporation organized and existing under and by virtue of the General Corporation Law of the State of Delaware (the “Corporation”), does hereby certify: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the amended and restated certificate of incorporation of the Corporation is hereby amended by deleting the provision appearing at the end of Article Fourth, Part A thereof that was added thereto pursuant to the Certificate of Amendment to the Certificate of Incorporation that became effective at 12:01 a.m. Eastern Time on August 21, 2025 and inserting in lieu thereof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Upon the effectiveness (the “Effective Time”) of the Certificate of Amendment inserting this paragraph in the Certificate of Incorporation, each ten (10) shares of Common Stock that are issued and outstanding immediately prior to the Effective Time shall be reclassified and combined into one (1) share of Common Stock, subject to the treatment of fractional share interests as described below (the “Reverse Split”). The Reverse Split shall occur automatically without any further action by the Corporation or its stockholders and whether or not any certificate representing such shares immediately prior to the Effective Time (an “Old Certificate”) is surrendered to the Corporation. No fractional shares of Common Stock will be issued in connection with the Reverse Split. Stockholders of record who otherwise would be entitled to receive fractional shares as a result of the Reverse Split, will be entitled to receive cash (without interest) in lieu of fractional shares, equal to such fraction multiplied by the average of the closing sales prices of the Common Stock on the exchange the Corporation is currently trading during regular trading hours for the five consecutive trading days immediately preceding the effective date of the Reverse Split (with such average closing sales prices being adjusted to give effect to the Reverse Split). Following the Effective Time, each Old Certificate shall thereafter represent that number of shares of Common Stock into which the shares of Common Stock represented by the Old Certificate shall have been reclassified and combined, subject to the elimination of fractional share interests as described above, until such time as such Old Certificate has been surrendered to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this amendment was duly adopted in accordance with Section 242 of the General Corporation Law of the State of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this Certificate of Amendment shall become effective at 12:01 a.m. on October 26,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Azitra, Inc. has caused this Certificate of Amendment to be signed by its authorized officer, as of October 22, 2026.</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AZITRA,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Francisco Salva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Francisco Salva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1442</Words>
  <Characters>7771</Characters>
  <CharactersWithSpaces>9218</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