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png" ContentType="image/pn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10-K</w:t>
      </w:r>
    </w:p>
    <w:p>
      <w:pPr>
        <w:pStyle w:val="TextBody"/>
        <w:bidi w:val="0"/>
        <w:spacing w:before="0" w:after="0"/>
        <w:jc w:val="center"/>
        <w:rPr/>
      </w:pPr>
      <w:r>
        <w:rPr/>
      </w:r>
    </w:p>
    <w:p>
      <w:pPr>
        <w:pStyle w:val="TextBody"/>
        <w:bidi w:val="0"/>
        <w:spacing w:lineRule="auto" w:line="276" w:before="0" w:after="0"/>
        <w:jc w:val="center"/>
        <w:rPr/>
      </w:pPr>
      <w:r>
        <w:rPr>
          <w:color w:val="000000"/>
        </w:rPr>
        <w:t>☒ </w:t>
      </w:r>
      <w:r>
        <w:rPr>
          <w:rFonts w:ascii="Times New Roman;serif" w:hAnsi="Times New Roman;serif"/>
          <w:b/>
          <w:color w:val="000000"/>
          <w:sz w:val="20"/>
        </w:rPr>
        <w:t>ANNUAL REPORT UNDER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color w:val="000000"/>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______________ to 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001-41705</w:t>
      </w:r>
    </w:p>
    <w:p>
      <w:pPr>
        <w:pStyle w:val="TextBody"/>
        <w:bidi w:val="0"/>
        <w:spacing w:before="0" w:after="0"/>
        <w:jc w:val="center"/>
        <w:rPr/>
      </w:pPr>
      <w:r>
        <w:rPr/>
        <w:drawing>
          <wp:inline distT="0" distB="0" distL="0" distR="0">
            <wp:extent cx="285750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952500"/>
                    </a:xfrm>
                    <a:prstGeom prst="rect">
                      <a:avLst/>
                    </a:prstGeom>
                  </pic:spPr>
                </pic:pic>
              </a:graphicData>
            </a:graphic>
          </wp:inline>
        </w:drawing>
      </w:r>
      <w:bookmarkStart w:id="0" w:name="i-1"/>
      <w:bookmarkEnd w:id="0"/>
    </w:p>
    <w:p>
      <w:pPr>
        <w:pStyle w:val="TextBody"/>
        <w:bidi w:val="0"/>
        <w:spacing w:lineRule="auto" w:line="288" w:before="0" w:after="2"/>
        <w:jc w:val="center"/>
        <w:rPr>
          <w:rFonts w:ascii="Times New Roman;serif" w:hAnsi="Times New Roman;serif"/>
          <w:b/>
          <w:color w:val="000000"/>
          <w:sz w:val="36"/>
        </w:rPr>
      </w:pPr>
      <w:r>
        <w:rPr>
          <w:rFonts w:ascii="Times New Roman;serif" w:hAnsi="Times New Roman;serif"/>
          <w:b/>
          <w:color w:val="000000"/>
          <w:sz w:val="36"/>
        </w:rPr>
        <w:t>Azitra,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2"/>
        <w:jc w:val="center"/>
        <w:rPr/>
      </w:pPr>
      <w:r>
        <w:rPr/>
      </w:r>
    </w:p>
    <w:tbl>
      <w:tblPr>
        <w:tblW w:w="4556"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46-4478536</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 </w:t>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 Business Park Drive</w:t>
      </w:r>
    </w:p>
    <w:p>
      <w:pPr>
        <w:pStyle w:val="TextBody"/>
        <w:bidi w:val="0"/>
        <w:spacing w:lineRule="auto" w:line="288" w:before="0" w:after="0"/>
        <w:jc w:val="center"/>
        <w:rPr/>
      </w:pPr>
      <w:r>
        <w:rPr>
          <w:rFonts w:ascii="Times New Roman;serif" w:hAnsi="Times New Roman;serif"/>
          <w:b/>
          <w:color w:val="000000"/>
          <w:sz w:val="20"/>
        </w:rPr>
        <w:t>Branford, CT</w:t>
      </w:r>
      <w:r>
        <w:rPr>
          <w:color w:val="000000"/>
        </w:rPr>
        <w:t xml:space="preserve"> </w:t>
      </w:r>
      <w:r>
        <w:rPr>
          <w:rFonts w:ascii="Times New Roman;serif" w:hAnsi="Times New Roman;serif"/>
          <w:b/>
          <w:color w:val="000000"/>
          <w:sz w:val="20"/>
        </w:rPr>
        <w:t>06405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2"/>
        </w:rPr>
        <w:t>(203)</w:t>
      </w:r>
      <w:r>
        <w:rPr>
          <w:rFonts w:ascii="Times New Roman;serif" w:hAnsi="Times New Roman;serif"/>
          <w:b/>
          <w:color w:val="000000"/>
          <w:sz w:val="20"/>
        </w:rPr>
        <w:t>-</w:t>
      </w:r>
      <w:r>
        <w:rPr>
          <w:rFonts w:ascii="Times New Roman;serif" w:hAnsi="Times New Roman;serif"/>
          <w:b/>
          <w:color w:val="000000"/>
          <w:sz w:val="22"/>
        </w:rPr>
        <w:t>646-6446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u w:val="single"/>
        </w:rPr>
      </w:pPr>
      <w:r>
        <w:rPr>
          <w:rFonts w:ascii="Times New Roman;serif" w:hAnsi="Times New Roman;serif"/>
          <w:b/>
          <w:color w:val="000000"/>
          <w:sz w:val="20"/>
          <w:u w:val="single"/>
        </w:rPr>
        <w:t>Securities registered pursuant to Section 12(b) of the Act:</w:t>
      </w:r>
    </w:p>
    <w:tbl>
      <w:tblPr>
        <w:tblW w:w="9097" w:type="dxa"/>
        <w:jc w:val="left"/>
        <w:tblInd w:w="0" w:type="dxa"/>
        <w:tblLayout w:type="fixed"/>
        <w:tblCellMar>
          <w:top w:w="28" w:type="dxa"/>
          <w:left w:w="28" w:type="dxa"/>
          <w:bottom w:w="28" w:type="dxa"/>
          <w:right w:w="28" w:type="dxa"/>
        </w:tblCellMar>
      </w:tblPr>
      <w:tblGrid>
        <w:gridCol w:w="1057"/>
        <w:gridCol w:w="928"/>
        <w:gridCol w:w="939"/>
        <w:gridCol w:w="109"/>
        <w:gridCol w:w="109"/>
        <w:gridCol w:w="109"/>
        <w:gridCol w:w="564"/>
        <w:gridCol w:w="564"/>
        <w:gridCol w:w="566"/>
        <w:gridCol w:w="109"/>
        <w:gridCol w:w="109"/>
        <w:gridCol w:w="109"/>
        <w:gridCol w:w="1118"/>
        <w:gridCol w:w="1118"/>
        <w:gridCol w:w="1589"/>
      </w:tblGrid>
      <w:tr>
        <w:trPr/>
        <w:tc>
          <w:tcPr>
            <w:tcW w:w="10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8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2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AZTR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NYSE American, LLC</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Yes ☐ No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15(d) of the Exchange Act. Yes ☐ No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120"/>
        <w:jc w:val="center"/>
        <w:rPr/>
      </w:pPr>
      <w:r>
        <w:rPr/>
      </w:r>
    </w:p>
    <w:p>
      <w:pPr>
        <w:pStyle w:val="TextBody"/>
        <w:bidi w:val="0"/>
        <w:spacing w:before="0" w:after="0"/>
        <w:jc w:val="center"/>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was required to file such reports), and (2) has been subject to such filing requirements for the past 90 days. Yes ☒ No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 No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both"/>
        <w:rPr>
          <w:color w:val="000000"/>
        </w:rPr>
      </w:pPr>
      <w:r>
        <w:rPr>
          <w:color w:val="000000"/>
        </w:rPr>
        <w:t> </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the attestation of its management's assessment of the effectiveness of its internal control over financial reporting under Section 404(b) of the Sarbanes-Oxley Act (15 U.S.C. 72623(b)) by the registered public accounting firm that prepared or issued its audit report.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State the aggregate market value of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$4,696,525.</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February 26, 2026 was 16,192,438.</w:t>
      </w:r>
    </w:p>
    <w:p>
      <w:pPr>
        <w:pStyle w:val="TextBody"/>
        <w:bidi w:val="0"/>
        <w:spacing w:before="0" w:after="2"/>
        <w:jc w:val="both"/>
        <w:rPr/>
      </w:pPr>
      <w:r>
        <w:rPr/>
      </w:r>
    </w:p>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DOCUMENTS INCORPORATED BY REFERENCE</w:t>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before="0" w:after="2"/>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tbl>
      <w:tblPr>
        <w:tblW w:w="10205" w:type="dxa"/>
        <w:jc w:val="center"/>
        <w:tblInd w:w="0" w:type="dxa"/>
        <w:tblLayout w:type="fixed"/>
        <w:tblCellMar>
          <w:top w:w="28" w:type="dxa"/>
          <w:left w:w="28" w:type="dxa"/>
          <w:bottom w:w="28" w:type="dxa"/>
          <w:right w:w="28" w:type="dxa"/>
        </w:tblCellMar>
      </w:tblPr>
      <w:tblGrid>
        <w:gridCol w:w="288"/>
        <w:gridCol w:w="254"/>
        <w:gridCol w:w="255"/>
        <w:gridCol w:w="3013"/>
        <w:gridCol w:w="3002"/>
        <w:gridCol w:w="3019"/>
        <w:gridCol w:w="109"/>
        <w:gridCol w:w="109"/>
        <w:gridCol w:w="156"/>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3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2">
              <w:r>
                <w:rPr>
                  <w:rStyle w:val="InternetLink"/>
                  <w:rFonts w:ascii="Times New Roman;serif" w:hAnsi="Times New Roman;serif"/>
                  <w:b w:val="false"/>
                  <w:color w:val="0000EE"/>
                  <w:sz w:val="20"/>
                  <w:u w:val="single"/>
                </w:rPr>
                <w:t>PART I</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pPr>
            <w:hyperlink w:anchor="i2c14454b63ae4cd5aa5ccb0960aa358c_22">
              <w:r>
                <w:rPr>
                  <w:rStyle w:val="InternetLink"/>
                  <w:rFonts w:ascii="Times New Roman;serif" w:hAnsi="Times New Roman;serif"/>
                  <w:b w:val="false"/>
                  <w:strike w:val="false"/>
                  <w:dstrike w:val="false"/>
                  <w:color w:val="000000"/>
                  <w:sz w:val="20"/>
                  <w:u w:val="none"/>
                  <w:effect w:val="none"/>
                </w:rPr>
                <w:t>1</w:t>
              </w:r>
            </w:hyperlink>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5">
              <w:r>
                <w:rPr>
                  <w:rStyle w:val="InternetLink"/>
                  <w:rFonts w:ascii="Times New Roman;serif" w:hAnsi="Times New Roman;serif"/>
                  <w:b w:val="false"/>
                  <w:strike w:val="false"/>
                  <w:dstrike w:val="false"/>
                  <w:color w:val="000000"/>
                  <w:sz w:val="20"/>
                  <w:u w:val="none"/>
                  <w:effect w:val="none"/>
                </w:rPr>
                <w:t>Item 1.</w:t>
              </w:r>
            </w:hyperlink>
          </w:p>
        </w:tc>
        <w:tc>
          <w:tcPr>
            <w:tcW w:w="9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5">
              <w:r>
                <w:rPr>
                  <w:rStyle w:val="InternetLink"/>
                  <w:rFonts w:ascii="Times New Roman;serif" w:hAnsi="Times New Roman;serif"/>
                  <w:b w:val="false"/>
                  <w:color w:val="0000EE"/>
                  <w:sz w:val="20"/>
                  <w:u w:val="single"/>
                </w:rPr>
                <w:t>Business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pPr>
            <w:hyperlink w:anchor="i2c14454b63ae4cd5aa5ccb0960aa358c_25">
              <w:r>
                <w:rPr>
                  <w:rStyle w:val="InternetLink"/>
                  <w:rFonts w:ascii="Times New Roman;serif" w:hAnsi="Times New Roman;serif"/>
                  <w:b w:val="false"/>
                  <w:strike w:val="false"/>
                  <w:dstrike w:val="false"/>
                  <w:color w:val="000000"/>
                  <w:sz w:val="20"/>
                  <w:u w:val="none"/>
                  <w:effect w:val="none"/>
                </w:rPr>
                <w:t>1</w:t>
              </w:r>
            </w:hyperlink>
          </w:p>
        </w:tc>
      </w:tr>
      <w:tr>
        <w:trPr/>
        <w:tc>
          <w:tcPr>
            <w:tcW w:w="797"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52">
              <w:r>
                <w:rPr>
                  <w:rStyle w:val="InternetLink"/>
                  <w:rFonts w:ascii="Times New Roman;serif" w:hAnsi="Times New Roman;serif"/>
                  <w:b w:val="false"/>
                  <w:strike w:val="false"/>
                  <w:dstrike w:val="false"/>
                  <w:color w:val="000000"/>
                  <w:sz w:val="20"/>
                  <w:u w:val="none"/>
                  <w:effect w:val="none"/>
                </w:rPr>
                <w:t>Item 1A.</w:t>
              </w:r>
            </w:hyperlink>
          </w:p>
        </w:tc>
        <w:tc>
          <w:tcPr>
            <w:tcW w:w="903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8">
              <w:r>
                <w:rPr>
                  <w:rStyle w:val="InternetLink"/>
                  <w:rFonts w:ascii="Times New Roman;serif" w:hAnsi="Times New Roman;serif"/>
                  <w:b w:val="false"/>
                  <w:color w:val="0000EE"/>
                  <w:sz w:val="20"/>
                  <w:u w:val="single"/>
                </w:rPr>
                <w:t>Risk Factors</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58">
              <w:r>
                <w:rPr>
                  <w:rStyle w:val="InternetLink"/>
                  <w:rFonts w:ascii="Times New Roman;serif" w:hAnsi="Times New Roman;serif"/>
                  <w:b w:val="false"/>
                  <w:strike w:val="false"/>
                  <w:dstrike w:val="false"/>
                  <w:color w:val="000000"/>
                  <w:sz w:val="20"/>
                  <w:u w:val="none"/>
                  <w:effect w:val="none"/>
                </w:rPr>
                <w:t>Item 1B.</w:t>
              </w:r>
            </w:hyperlink>
          </w:p>
        </w:tc>
        <w:tc>
          <w:tcPr>
            <w:tcW w:w="9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31">
              <w:r>
                <w:rPr>
                  <w:rStyle w:val="InternetLink"/>
                  <w:rFonts w:ascii="Times New Roman;serif" w:hAnsi="Times New Roman;serif"/>
                  <w:b w:val="false"/>
                  <w:color w:val="0000EE"/>
                  <w:sz w:val="20"/>
                  <w:u w:val="single"/>
                </w:rPr>
                <w:t>Unresolved Staff Comments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903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34">
              <w:r>
                <w:rPr>
                  <w:rStyle w:val="InternetLink"/>
                  <w:rFonts w:ascii="Times New Roman;serif" w:hAnsi="Times New Roman;serif"/>
                  <w:b w:val="false"/>
                  <w:color w:val="0000EE"/>
                  <w:sz w:val="20"/>
                  <w:u w:val="single"/>
                </w:rPr>
                <w:t>Cybersecurity</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61">
              <w:r>
                <w:rPr>
                  <w:rStyle w:val="InternetLink"/>
                  <w:rFonts w:ascii="Times New Roman;serif" w:hAnsi="Times New Roman;serif"/>
                  <w:b w:val="false"/>
                  <w:strike w:val="false"/>
                  <w:dstrike w:val="false"/>
                  <w:color w:val="000000"/>
                  <w:sz w:val="20"/>
                  <w:u w:val="none"/>
                  <w:effect w:val="none"/>
                </w:rPr>
                <w:t>Item 2.</w:t>
              </w:r>
            </w:hyperlink>
          </w:p>
        </w:tc>
        <w:tc>
          <w:tcPr>
            <w:tcW w:w="9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37">
              <w:r>
                <w:rPr>
                  <w:rStyle w:val="InternetLink"/>
                  <w:rFonts w:ascii="Times New Roman;serif" w:hAnsi="Times New Roman;serif"/>
                  <w:b w:val="false"/>
                  <w:color w:val="0000EE"/>
                  <w:sz w:val="20"/>
                  <w:u w:val="single"/>
                </w:rPr>
                <w:t>Properties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64">
              <w:r>
                <w:rPr>
                  <w:rStyle w:val="InternetLink"/>
                  <w:rFonts w:ascii="Times New Roman;serif" w:hAnsi="Times New Roman;serif"/>
                  <w:b w:val="false"/>
                  <w:strike w:val="false"/>
                  <w:dstrike w:val="false"/>
                  <w:color w:val="000000"/>
                  <w:sz w:val="20"/>
                  <w:u w:val="none"/>
                  <w:effect w:val="none"/>
                </w:rPr>
                <w:t xml:space="preserve">Item 3. </w:t>
              </w:r>
            </w:hyperlink>
          </w:p>
        </w:tc>
        <w:tc>
          <w:tcPr>
            <w:tcW w:w="903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40">
              <w:r>
                <w:rPr>
                  <w:rStyle w:val="InternetLink"/>
                  <w:rFonts w:ascii="Times New Roman;serif" w:hAnsi="Times New Roman;serif"/>
                  <w:b w:val="false"/>
                  <w:color w:val="0000EE"/>
                  <w:sz w:val="20"/>
                  <w:u w:val="single"/>
                </w:rPr>
                <w:t>Legal Proceedings</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67">
              <w:r>
                <w:rPr>
                  <w:rStyle w:val="InternetLink"/>
                  <w:rFonts w:ascii="Times New Roman;serif" w:hAnsi="Times New Roman;serif"/>
                  <w:b w:val="false"/>
                  <w:strike w:val="false"/>
                  <w:dstrike w:val="false"/>
                  <w:color w:val="000000"/>
                  <w:sz w:val="20"/>
                  <w:u w:val="none"/>
                  <w:effect w:val="none"/>
                </w:rPr>
                <w:t>Item 4.</w:t>
              </w:r>
            </w:hyperlink>
          </w:p>
        </w:tc>
        <w:tc>
          <w:tcPr>
            <w:tcW w:w="9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43">
              <w:r>
                <w:rPr>
                  <w:rStyle w:val="InternetLink"/>
                  <w:rFonts w:ascii="Times New Roman;serif" w:hAnsi="Times New Roman;serif"/>
                  <w:b w:val="false"/>
                  <w:color w:val="0000EE"/>
                  <w:sz w:val="20"/>
                  <w:u w:val="single"/>
                </w:rPr>
                <w:t>Mine Safety Disclosures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shd w:fill="D8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8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17">
              <w:r>
                <w:rPr>
                  <w:rStyle w:val="InternetLink"/>
                  <w:rFonts w:ascii="Times New Roman;serif" w:hAnsi="Times New Roman;serif"/>
                  <w:b w:val="false"/>
                  <w:color w:val="0000EE"/>
                  <w:sz w:val="20"/>
                  <w:u w:val="single"/>
                </w:rPr>
                <w:t>PART II</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9034" w:type="dxa"/>
            <w:gridSpan w:val="3"/>
            <w:tcBorders/>
            <w:shd w:fill="D8F2F9" w:val="clear"/>
            <w:tcMar>
              <w:top w:w="0" w:type="dxa"/>
              <w:left w:w="0" w:type="dxa"/>
              <w:bottom w:w="0" w:type="dxa"/>
              <w:right w:w="0" w:type="dxa"/>
            </w:tcMar>
            <w:vAlign w:val="center"/>
          </w:tcPr>
          <w:p>
            <w:pPr>
              <w:pStyle w:val="TableContents"/>
              <w:bidi w:val="0"/>
              <w:spacing w:lineRule="auto" w:line="264" w:before="0" w:after="2"/>
              <w:jc w:val="left"/>
              <w:rPr/>
            </w:pPr>
            <w:hyperlink w:anchor="i2c14454b63ae4cd5aa5ccb0960aa358c_226">
              <w:r>
                <w:rPr>
                  <w:rStyle w:val="InternetLink"/>
                  <w:rFonts w:ascii="Times New Roman;serif" w:hAnsi="Times New Roman;serif"/>
                  <w:b w:val="false"/>
                  <w:color w:val="0000EE"/>
                  <w:sz w:val="20"/>
                  <w:u w:val="single"/>
                </w:rPr>
                <w:t>Market for Registrant's Common Equity, Related Stockholder Matters and Issuer Repurchases of Equity Securities</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17">
              <w:r>
                <w:rPr>
                  <w:rStyle w:val="InternetLink"/>
                  <w:rFonts w:ascii="Times New Roman;serif" w:hAnsi="Times New Roman;serif"/>
                  <w:b w:val="false"/>
                  <w:strike w:val="false"/>
                  <w:dstrike w:val="false"/>
                  <w:color w:val="000000"/>
                  <w:sz w:val="20"/>
                  <w:u w:val="none"/>
                  <w:effect w:val="none"/>
                </w:rPr>
                <w:t>Item 6.</w:t>
              </w:r>
            </w:hyperlink>
          </w:p>
        </w:tc>
        <w:tc>
          <w:tcPr>
            <w:tcW w:w="9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29">
              <w:r>
                <w:rPr>
                  <w:rStyle w:val="InternetLink"/>
                  <w:rFonts w:ascii="Times New Roman;serif" w:hAnsi="Times New Roman;serif"/>
                  <w:b w:val="false"/>
                  <w:color w:val="0000EE"/>
                  <w:sz w:val="20"/>
                  <w:u w:val="single"/>
                </w:rPr>
                <w:t>Reserved</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76">
              <w:r>
                <w:rPr>
                  <w:rStyle w:val="InternetLink"/>
                  <w:rFonts w:ascii="Times New Roman;serif" w:hAnsi="Times New Roman;serif"/>
                  <w:b w:val="false"/>
                  <w:strike w:val="false"/>
                  <w:dstrike w:val="false"/>
                  <w:color w:val="000000"/>
                  <w:sz w:val="20"/>
                  <w:u w:val="none"/>
                  <w:effect w:val="none"/>
                </w:rPr>
                <w:t>Item 7.</w:t>
              </w:r>
            </w:hyperlink>
          </w:p>
        </w:tc>
        <w:tc>
          <w:tcPr>
            <w:tcW w:w="903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1990232566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79">
              <w:r>
                <w:rPr>
                  <w:rStyle w:val="InternetLink"/>
                  <w:rFonts w:ascii="Times New Roman;serif" w:hAnsi="Times New Roman;serif"/>
                  <w:b w:val="false"/>
                  <w:strike w:val="false"/>
                  <w:dstrike w:val="false"/>
                  <w:color w:val="000000"/>
                  <w:sz w:val="20"/>
                  <w:u w:val="none"/>
                  <w:effect w:val="none"/>
                </w:rPr>
                <w:t>Item 7A.</w:t>
              </w:r>
            </w:hyperlink>
          </w:p>
        </w:tc>
        <w:tc>
          <w:tcPr>
            <w:tcW w:w="9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35">
              <w:r>
                <w:rPr>
                  <w:rStyle w:val="InternetLink"/>
                  <w:rFonts w:ascii="Times New Roman;serif" w:hAnsi="Times New Roman;serif"/>
                  <w:b w:val="false"/>
                  <w:color w:val="0000EE"/>
                  <w:sz w:val="20"/>
                  <w:u w:val="single"/>
                </w:rPr>
                <w:t>Quantitative &amp; Qualitative</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82">
              <w:r>
                <w:rPr>
                  <w:rStyle w:val="InternetLink"/>
                  <w:rFonts w:ascii="Times New Roman;serif" w:hAnsi="Times New Roman;serif"/>
                  <w:b w:val="false"/>
                  <w:strike w:val="false"/>
                  <w:dstrike w:val="false"/>
                  <w:color w:val="000000"/>
                  <w:sz w:val="20"/>
                  <w:u w:val="none"/>
                  <w:effect w:val="none"/>
                </w:rPr>
                <w:t>Item 8.</w:t>
              </w:r>
            </w:hyperlink>
          </w:p>
        </w:tc>
        <w:tc>
          <w:tcPr>
            <w:tcW w:w="903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52">
              <w:r>
                <w:rPr>
                  <w:rStyle w:val="InternetLink"/>
                  <w:rFonts w:ascii="Times New Roman;serif" w:hAnsi="Times New Roman;serif"/>
                  <w:b w:val="false"/>
                  <w:color w:val="0000EE"/>
                  <w:sz w:val="20"/>
                  <w:u w:val="single"/>
                </w:rPr>
                <w:t>Financial Statements and Supplementary Data</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85">
              <w:r>
                <w:rPr>
                  <w:rStyle w:val="InternetLink"/>
                  <w:rFonts w:ascii="Times New Roman;serif" w:hAnsi="Times New Roman;serif"/>
                  <w:b w:val="false"/>
                  <w:strike w:val="false"/>
                  <w:dstrike w:val="false"/>
                  <w:color w:val="000000"/>
                  <w:sz w:val="20"/>
                  <w:u w:val="none"/>
                  <w:effect w:val="none"/>
                </w:rPr>
                <w:t>Item 9.</w:t>
              </w:r>
            </w:hyperlink>
          </w:p>
        </w:tc>
        <w:tc>
          <w:tcPr>
            <w:tcW w:w="9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187">
              <w:r>
                <w:rPr>
                  <w:rStyle w:val="InternetLink"/>
                  <w:rFonts w:ascii="Times New Roman;serif" w:hAnsi="Times New Roman;serif"/>
                  <w:b w:val="false"/>
                  <w:color w:val="0000EE"/>
                  <w:sz w:val="20"/>
                  <w:u w:val="single"/>
                </w:rPr>
                <w:t>Changes in and Disagreements with Accountants on Accounting and Financial Disclosure</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88">
              <w:r>
                <w:rPr>
                  <w:rStyle w:val="InternetLink"/>
                  <w:rFonts w:ascii="Times New Roman;serif" w:hAnsi="Times New Roman;serif"/>
                  <w:b w:val="false"/>
                  <w:strike w:val="false"/>
                  <w:dstrike w:val="false"/>
                  <w:color w:val="000000"/>
                  <w:sz w:val="20"/>
                  <w:u w:val="none"/>
                  <w:effect w:val="none"/>
                </w:rPr>
                <w:t>Item 9A.</w:t>
              </w:r>
            </w:hyperlink>
          </w:p>
        </w:tc>
        <w:tc>
          <w:tcPr>
            <w:tcW w:w="903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190">
              <w:r>
                <w:rPr>
                  <w:rStyle w:val="InternetLink"/>
                  <w:rFonts w:ascii="Times New Roman;serif" w:hAnsi="Times New Roman;serif"/>
                  <w:b w:val="false"/>
                  <w:color w:val="0000EE"/>
                  <w:sz w:val="20"/>
                  <w:u w:val="single"/>
                </w:rPr>
                <w:t>Controls and Procedures</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91">
              <w:r>
                <w:rPr>
                  <w:rStyle w:val="InternetLink"/>
                  <w:rFonts w:ascii="Times New Roman;serif" w:hAnsi="Times New Roman;serif"/>
                  <w:b w:val="false"/>
                  <w:strike w:val="false"/>
                  <w:dstrike w:val="false"/>
                  <w:color w:val="000000"/>
                  <w:sz w:val="20"/>
                  <w:u w:val="none"/>
                  <w:effect w:val="none"/>
                </w:rPr>
                <w:t>Item 9B.</w:t>
              </w:r>
            </w:hyperlink>
          </w:p>
        </w:tc>
        <w:tc>
          <w:tcPr>
            <w:tcW w:w="9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193">
              <w:r>
                <w:rPr>
                  <w:rStyle w:val="InternetLink"/>
                  <w:rFonts w:ascii="Times New Roman;serif" w:hAnsi="Times New Roman;serif"/>
                  <w:b w:val="false"/>
                  <w:color w:val="0000EE"/>
                  <w:sz w:val="20"/>
                  <w:u w:val="single"/>
                </w:rPr>
                <w:t>Other Information</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94">
              <w:r>
                <w:rPr>
                  <w:rStyle w:val="InternetLink"/>
                  <w:rFonts w:ascii="Times New Roman;serif" w:hAnsi="Times New Roman;serif"/>
                  <w:b w:val="false"/>
                  <w:strike w:val="false"/>
                  <w:dstrike w:val="false"/>
                  <w:color w:val="000000"/>
                  <w:sz w:val="20"/>
                  <w:u w:val="none"/>
                  <w:effect w:val="none"/>
                </w:rPr>
                <w:t>Item 9C.</w:t>
              </w:r>
            </w:hyperlink>
          </w:p>
        </w:tc>
        <w:tc>
          <w:tcPr>
            <w:tcW w:w="903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14">
              <w:r>
                <w:rPr>
                  <w:rStyle w:val="InternetLink"/>
                  <w:rFonts w:ascii="Times New Roman;serif" w:hAnsi="Times New Roman;serif"/>
                  <w:b w:val="false"/>
                  <w:color w:val="0000EE"/>
                  <w:sz w:val="20"/>
                  <w:u w:val="single"/>
                </w:rPr>
                <w:t>Disclosure Regarding Foreign Jurisdiction that Prevent Inspections</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81</w:t>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38">
              <w:r>
                <w:rPr>
                  <w:rStyle w:val="InternetLink"/>
                  <w:rFonts w:ascii="Times New Roman;serif" w:hAnsi="Times New Roman;serif"/>
                  <w:b w:val="false"/>
                  <w:color w:val="0000EE"/>
                  <w:sz w:val="20"/>
                  <w:u w:val="single"/>
                </w:rPr>
                <w:t>PART III</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9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41">
              <w:r>
                <w:rPr>
                  <w:rStyle w:val="InternetLink"/>
                  <w:rFonts w:ascii="Times New Roman;serif" w:hAnsi="Times New Roman;serif"/>
                  <w:b w:val="false"/>
                  <w:color w:val="0000EE"/>
                  <w:sz w:val="20"/>
                  <w:u w:val="single"/>
                </w:rPr>
                <w:t>Directors, Executive Officers and Corporate Governance</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82</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32">
              <w:r>
                <w:rPr>
                  <w:rStyle w:val="InternetLink"/>
                  <w:rFonts w:ascii="Times New Roman;serif" w:hAnsi="Times New Roman;serif"/>
                  <w:b w:val="false"/>
                  <w:strike w:val="false"/>
                  <w:dstrike w:val="false"/>
                  <w:color w:val="000000"/>
                  <w:sz w:val="20"/>
                  <w:u w:val="none"/>
                  <w:effect w:val="none"/>
                </w:rPr>
                <w:t>Item 11.</w:t>
              </w:r>
            </w:hyperlink>
          </w:p>
        </w:tc>
        <w:tc>
          <w:tcPr>
            <w:tcW w:w="903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44">
              <w:r>
                <w:rPr>
                  <w:rStyle w:val="InternetLink"/>
                  <w:rFonts w:ascii="Times New Roman;serif" w:hAnsi="Times New Roman;serif"/>
                  <w:b w:val="false"/>
                  <w:color w:val="0000EE"/>
                  <w:sz w:val="20"/>
                  <w:u w:val="single"/>
                </w:rPr>
                <w:t>Executive Compensation</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9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47">
              <w:r>
                <w:rPr>
                  <w:rStyle w:val="InternetLink"/>
                  <w:rFonts w:ascii="Times New Roman;serif" w:hAnsi="Times New Roman;serif"/>
                  <w:b w:val="false"/>
                  <w:color w:val="0000EE"/>
                  <w:sz w:val="20"/>
                  <w:u w:val="single"/>
                </w:rPr>
                <w:t>Security Ownership of Certain Beneficial Owners and Management and Related Stockholder Matters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903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50">
              <w:r>
                <w:rPr>
                  <w:rStyle w:val="InternetLink"/>
                  <w:rFonts w:ascii="Times New Roman;serif" w:hAnsi="Times New Roman;serif"/>
                  <w:b w:val="false"/>
                  <w:color w:val="0000EE"/>
                  <w:sz w:val="20"/>
                  <w:u w:val="single"/>
                </w:rPr>
                <w:t>Certain Relationships and Related Transactions, and Director Independence</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9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53">
              <w:r>
                <w:rPr>
                  <w:rStyle w:val="InternetLink"/>
                  <w:rFonts w:ascii="Times New Roman;serif" w:hAnsi="Times New Roman;serif"/>
                  <w:b w:val="false"/>
                  <w:color w:val="0000EE"/>
                  <w:sz w:val="20"/>
                  <w:u w:val="single"/>
                </w:rPr>
                <w:t>Principal Accountant Fees and Services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92</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shd w:fill="D8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8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56">
              <w:r>
                <w:rPr>
                  <w:rStyle w:val="InternetLink"/>
                  <w:rFonts w:ascii="Times New Roman;serif" w:hAnsi="Times New Roman;serif"/>
                  <w:b w:val="false"/>
                  <w:color w:val="0000EE"/>
                  <w:sz w:val="20"/>
                  <w:u w:val="single"/>
                </w:rPr>
                <w:t>PART IV</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193">
              <w:r>
                <w:rPr>
                  <w:rStyle w:val="InternetLink"/>
                  <w:rFonts w:ascii="Times New Roman;serif" w:hAnsi="Times New Roman;serif"/>
                  <w:b w:val="false"/>
                  <w:strike w:val="false"/>
                  <w:dstrike w:val="false"/>
                  <w:color w:val="000000"/>
                  <w:sz w:val="20"/>
                  <w:u w:val="none"/>
                  <w:effect w:val="none"/>
                </w:rPr>
                <w:t>Item 15.</w:t>
              </w:r>
            </w:hyperlink>
          </w:p>
        </w:tc>
        <w:tc>
          <w:tcPr>
            <w:tcW w:w="903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59">
              <w:r>
                <w:rPr>
                  <w:rStyle w:val="InternetLink"/>
                  <w:rFonts w:ascii="Times New Roman;serif" w:hAnsi="Times New Roman;serif"/>
                  <w:b w:val="false"/>
                  <w:color w:val="0000EE"/>
                  <w:sz w:val="20"/>
                  <w:u w:val="single"/>
                </w:rPr>
                <w:t>Exhibits and Financial Statement Schedules</w:t>
              </w:r>
            </w:hyperlink>
          </w:p>
        </w:tc>
        <w:tc>
          <w:tcPr>
            <w:tcW w:w="374" w:type="dxa"/>
            <w:gridSpan w:val="3"/>
            <w:tcBorders/>
            <w:shd w:fill="D8F2F9"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79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90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62">
              <w:r>
                <w:rPr>
                  <w:rStyle w:val="InternetLink"/>
                  <w:rFonts w:ascii="Times New Roman;serif" w:hAnsi="Times New Roman;serif"/>
                  <w:b w:val="false"/>
                  <w:color w:val="0000EE"/>
                  <w:sz w:val="20"/>
                  <w:u w:val="single"/>
                </w:rPr>
                <w:t>Form 10-K Summary</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797" w:type="dxa"/>
            <w:gridSpan w:val="3"/>
            <w:tcBorders/>
            <w:shd w:fill="D8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4" w:type="dxa"/>
            <w:gridSpan w:val="3"/>
            <w:tcBorders/>
            <w:shd w:fill="D8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D8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w:anchor="i2c14454b63ae4cd5aa5ccb0960aa358c_265">
              <w:r>
                <w:rPr>
                  <w:rStyle w:val="InternetLink"/>
                  <w:rFonts w:ascii="Times New Roman;serif" w:hAnsi="Times New Roman;serif"/>
                  <w:b w:val="false"/>
                  <w:color w:val="0000EE"/>
                  <w:sz w:val="20"/>
                  <w:u w:val="single"/>
                </w:rPr>
                <w:t>Signatures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97</w:t>
            </w:r>
          </w:p>
        </w:tc>
      </w:tr>
    </w:tbl>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9745"/>
                <wp:effectExtent l="0" t="0" r="0" b="0"/>
                <wp:wrapNone/>
                <wp:docPr id="4" name="Frame3"/>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CAUTIONARY NOTICE REGARDING FORWARD LOOKING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Section 27A of the Securities Act of 1933, as amended (the "Securities Act"), and Section 21E of the Securities Exchange Act of 1934, as amended (the "Exchange Act"). Those forward-looking statements include our expectations, beliefs, intentions and strategies regarding the future.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and other factors that may affect our financial results are discussed more fully in “Risk Factors” and “Management’s Discussion and Analysis of Financial Condition and Results of Operations” included in this report.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our forward-looking statements. Although we believe that the expectations reflected in our forward-looking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 forward-looking statements. We caution readers not to place undue reliance on any forward-looking statements. We do not undertake, and specifically disclaim any obligation, to update or revise such statements to reflect new circumstances or unanticipated events as they occur, and we urge readers to review and consider disclosures we make in this and other reports that discuss factors germane to our business. See in particular our reports on Forms 10-K, 10-Q, and 8-K subsequently filed from time to time with the Securities and Exchange Commission.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as otherwise indicated, all share and share price in this report gives effect to a forward stock split effected on May 17, 2023 at a ratio of 7.1 for one, a reverse stock split effected on July 1, 2024 at a ratio of one for 30 and a reverse stock split effected on August 21, 2025 at a ratio of one for 6.66.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INDUSTRY AND MARKET DATA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particularly the section “Business,” contains observations, statistical data, estimates, and forecasts that are based on independent industry, government and non-government organization publications or other publicly available information, as well as other information based on our internal sources. Although we believe that the third-party sources referred to in this report are reliable, estimates as they relate to projections involve numerous assumptions, are subject to risks and uncertainties, and are subject to change based on various factors, including those discussed under the section titled “Risk Factors” and elsewhere in this report. These and other factors could cause results to differ materially from those expressed in the estimates made by the independent parties and by 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information in the text of this report is contained in independent industry government and non-governmental organizational publications. The sources of these publications are provided below:</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Stacy and Belkaid Study, Apollo Stacy and Yasmine Belkaid, Microbial Guardians of Skin Health. Science, 2019 Jan 18;363(6424):227-228. Doi: 10.1126/science.aat4326. PMID: 30655428</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Oh Study, Zhou W, Spoto M, Hardy R, Guan C, Fleming E, Larson PJ, Brown JS, Oh J. Host-Specific Evolutionary and Transmission Dynamics Shape the Functional Diversification of Staphylococcus epidermidis in Human Skin. Cell. 2020 Feb 6;180(3):454-470.e18. doi: 10.1016/j.cell.2020.01.006. Epub 2020 Jan 30. PMID: 32004459; PMCID</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Satoh Study, Satoh TK, Mellett M, Meier-Schiesser B, Fenini G, Otsuka A, Beer HD, Rordorf T, Maul JT, Hafner J, Navarini AA, Contassot E, French LE. IL-36γ drives skin toxicity induced by EGFR/MEK inhibition and commensal Cutibacterium acnes. J Clin Invest. 2020 Mar 2;130(3):1417-1430. doi: 10.1172/JCI128678. PMID: 31805013; PMCID: PMC7269569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9745"/>
                <wp:effectExtent l="0" t="0" r="0" b="0"/>
                <wp:wrapNone/>
                <wp:docPr id="5" name="Frame4"/>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Barbati Study, Netherton Syndrome in Children: Management and Future Perspectives, Federica Barbati, Mattia Giovannini Teresa Oranges, Lorenzo Lodi, Simona Barni, Elio Novembre, Ermanno Baldo, Mario Cristofolini, Stefano Stagi, Silvia Ricci, Francesca Mori, Cesare Filippeschi, Chiara Azzari and Giuseppe Indol; Frontiers in Pediatrics, May 2021</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Sun Study, Netherton syndrome: A case report and review of the literature, Joannie D. Sun, MD, and Kenneth G. Linden, PhD, MD, International Journal of Dermatology 2006</w:t>
      </w:r>
    </w:p>
    <w:p>
      <w:pPr>
        <w:pStyle w:val="TextBody"/>
        <w:bidi w:val="0"/>
        <w:spacing w:lineRule="auto" w:line="288" w:before="0" w:after="0"/>
        <w:ind w:left="0" w:right="0" w:hanging="720"/>
        <w:jc w:val="both"/>
        <w:rPr/>
      </w:pPr>
      <w:r>
        <w:rPr>
          <w:color w:val="000000"/>
        </w:rPr>
        <w:t>•</w:t>
      </w:r>
      <w:r>
        <w:rPr>
          <w:rFonts w:ascii="Times New Roman;serif" w:hAnsi="Times New Roman;serif"/>
          <w:b w:val="false"/>
          <w:color w:val="000000"/>
          <w:sz w:val="20"/>
        </w:rPr>
        <w:t>Orphanet, Netherton Syndrome, Orphanet: Netherton syndrome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including those described in “Risk Factors” in this Annual Report on Form 10-K. These risks include, but are not limited to the following:</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We are an early-stage clinical biopharmaceutical company with limited operating history;</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We have a history of significant operating losses and anticipate continued operating losses for the foreseeable future;</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We expect we will need additional financing to execute our business plan and fund operations, which additional financing may not be available on reasonable terms, or at all;</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The clinical and commercial utility of our microbial library and genetic engineering platform is uncertain and may never be realized;</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Our product candidates are in early stages of development, and therefore they will require extensive additional preclinical and clinical testing;</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We will need to grow the size of our organization, and we may experience difficulties in managing this growth;</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We currently have no sales and marketing organization;</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We will be completely dependent for the foreseeable future on third parties to manufacture our product candidates for commercial sale;</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Our business model includes the potential out-licensing of strains from our proprietary microbial library or our product candidates to other pharmaceutical companies; however, technology licensing in the pharmaceutical industry is a lengthy process and subject to several risks and factors outside of our control;</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Our business may suffer with the loss of key personnel;</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If product liability lawsuits are brought against us, we may incur substantial liabilities and may be required to limit commercialization of our product candidates;</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Our business operations could suffer in the event of information technology systems’ failures or security breaches;</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We face significant competition from other biotechnology and pharmaceutical companies targeting medical dermatological indications;</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Our success is entirely dependent on our ability to obtain the marketing approval for our product candidates by the FDA and the regulatory authorities in foreign jurisdictions in which we intend to market our product candidates, of which there can be no assurance;</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Our clinical trials may fail to demonstrate substantial evidence of the safety and efficacy of our product candidates or any future product candidates;</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Results of preclinical studies of our product candidates may not be predictive of the results of future preclinical studies or clinical trials;</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Even if we receive regulatory approval for any of our product candidates, we may not be able to successfully commercialize the product and the revenue that we generate from its sales, if any, may be limited;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9745"/>
                <wp:effectExtent l="0" t="0" r="0" b="0"/>
                <wp:wrapNone/>
                <wp:docPr id="6" name="Frame5"/>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Current and future legislation may increase the difficulty and cost for us to obtain marketing approval of and commercialize our product candidates and affect the prices we may obtain;</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It is difficult and costly to protect our intellectual property rights, and we cannot ensure the protection of these rights;</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Our product candidates may infringe the intellectual property rights of others, which could increase our costs and delay or prevent our development and commercialization efforts;</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An active, liquid and orderly trading market for our shares may not develop;</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Future capital raises may dilute your ownership and have other adverse effects on our operations;</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The market price of our shares may be subject to fluctuation and volatility;</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Our failure to meet the continued listing requirements of the NYSE American could result in a delisting of our common stock;</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If we fail to maintain an effective system of internal control over financial reporting, we may not be able to accurately report our financial results or prevent fraud;</w:t>
      </w:r>
    </w:p>
    <w:p>
      <w:pPr>
        <w:pStyle w:val="TextBody"/>
        <w:bidi w:val="0"/>
        <w:spacing w:lineRule="auto" w:line="288" w:before="0" w:after="2"/>
        <w:ind w:left="0" w:right="0" w:hanging="810"/>
        <w:jc w:val="both"/>
        <w:rPr/>
      </w:pPr>
      <w:r>
        <w:rPr>
          <w:color w:val="000000"/>
        </w:rPr>
        <w:t>•</w:t>
      </w:r>
      <w:r>
        <w:rPr>
          <w:rFonts w:ascii="Times New Roman;serif" w:hAnsi="Times New Roman;serif"/>
          <w:b w:val="false"/>
          <w:color w:val="000000"/>
          <w:sz w:val="20"/>
        </w:rPr>
        <w:t>We ratified certain corporate actions pursuant to Section 204 of the Delaware General Corporate Law, or DGCL; however, there can be no assurance that claims will not be made to challenge the validity of the ratification or the related corporate actions; and</w:t>
      </w:r>
    </w:p>
    <w:p>
      <w:pPr>
        <w:pStyle w:val="TextBody"/>
        <w:bidi w:val="0"/>
        <w:spacing w:lineRule="auto" w:line="288" w:before="0" w:after="240"/>
        <w:ind w:left="0" w:right="0" w:hanging="810"/>
        <w:jc w:val="both"/>
        <w:rPr/>
      </w:pPr>
      <w:r>
        <w:rPr>
          <w:color w:val="000000"/>
        </w:rPr>
        <w:t>•</w:t>
      </w:r>
      <w:r>
        <w:rPr>
          <w:rFonts w:ascii="Times New Roman;serif" w:hAnsi="Times New Roman;serif"/>
          <w:b w:val="false"/>
          <w:color w:val="000000"/>
          <w:sz w:val="20"/>
        </w:rPr>
        <w:t>Our charter documents and Delaware law may inhibit a takeover that stockholders consider favorable.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9745"/>
                <wp:effectExtent l="0" t="0" r="0" b="0"/>
                <wp:wrapNone/>
                <wp:docPr id="7" name="Frame6"/>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Background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Azitra, Inc. was formed as a Delaware corporation on January 2, 2014 as a biopharmaceutical company focused on developing innovative therapies for precision dermatology using engineered proteins and topical live biotherapeutic products. Since our formation,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 like molecules. The platform also utilizes a licensed genetic engineering technology, which can enable the transformation of previously genetically intractable strains. We have not commenced commercial operations. Unless otherwise indicated, the terms “Azitra,” Company,” “we,” “us,” and “our” refer to Azitra, Inc. and its wholly-owned subsidiaries.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We are an early-stage clinical biopharmaceutical company focused on developing innovative therapies for precision dermatology using engineered proteins and topical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that analyzes, predicts and helps screen our library of strains for druglike molecules. The platform also utilizes a licensed genetic engineering technology, which can enable the transformation of previously genetically intractable strains. Our initial focus is on the development of genetically engineered strains of </w:t>
      </w:r>
      <w:r>
        <w:rPr>
          <w:rFonts w:ascii="Times New Roman;serif" w:hAnsi="Times New Roman;serif"/>
          <w:b w:val="false"/>
          <w:i/>
          <w:color w:val="000000"/>
          <w:sz w:val="20"/>
        </w:rPr>
        <w:t>Staphylococcus epidermidis</w:t>
      </w:r>
      <w:r>
        <w:rPr>
          <w:rFonts w:ascii="Times New Roman;serif" w:hAnsi="Times New Roman;serif"/>
          <w:b w:val="false"/>
          <w:color w:val="000000"/>
          <w:sz w:val="20"/>
        </w:rPr>
        <w:t xml:space="preserve">, or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which we consider to be an optimal therapeutic candidate species for engineering of dermatologic therapies. The particular species demonstrates a number of well-described properties in the skin. As of the date of this report, we have identified, among our microbial library, over 60 distinct bacterial species that we believe are capable of being engineered to create living organisms or engineered proteins with significant therapeutic effect.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pioneer in genetically engineering bacteria for therapeutic use in dermatology. Our goal is to leverage our platforms and internal microbial library bacterial strains to create new therapeutics that are either engineered living organisms or engineered proteins or peptides to treat skin diseases. Our initial focus is on the development of our current programs, including:</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ATR-12</w:t>
      </w:r>
      <w:r>
        <w:rPr>
          <w:rFonts w:ascii="Times New Roman;serif" w:hAnsi="Times New Roman;serif"/>
          <w:b w:val="false"/>
          <w:color w:val="000000"/>
          <w:sz w:val="20"/>
        </w:rPr>
        <w:t xml:space="preserve">, a genetically modified strain of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for treating the orphan disease, Netherton syndrome, a chronic and sometimes fatal disease of the skin estimated to affect approximately one to nine in every 100,000, but its prevalence may be underestimated due to misdiagnosis caused by similarities to other skin diseases. We received Pediatric Rare Disease Designation for ATR-12 by the United States Food and Drug Administration, or FDA, in 2019. On January 27, 2023 we received notification from the FDA that the “study may proceed” for a Phase 1b clinical trial in Netherton syndrome patients. After submitting post-IND manufacturing reports, we have commenced operating activities for our Phase 1b clinical trial in December 2023, and dosed our first patient in August 2024. We reported initial safety results in the first half of 2025.</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ATR-04</w:t>
      </w:r>
      <w:r>
        <w:rPr>
          <w:rFonts w:ascii="Times New Roman;serif" w:hAnsi="Times New Roman;serif"/>
          <w:b w:val="false"/>
          <w:color w:val="000000"/>
          <w:sz w:val="20"/>
        </w:rPr>
        <w:t xml:space="preserve">, a genetically modified strain of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for treating the papulopustular rash experienced by cancer patients undergoing epidermal growth factor receptor inhibitor, or EGFRi, targeted therapy. In August 2024, we obtained IND clearance from the FDA to commence a Phase 1/2 clinical trial in certain cancer patients undergoing EGFRi targeted therapy. In September 2024, we obtained Fast Track designation by the FDA in this indication. We dosed the first patient in the Phase 1/2 clinical trial in the third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9745"/>
                <wp:effectExtent l="0" t="0" r="0" b="0"/>
                <wp:wrapNone/>
                <wp:docPr id="8" name="Frame7"/>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0"/>
        <w:ind w:left="0" w:right="0" w:hanging="360"/>
        <w:jc w:val="both"/>
        <w:rPr/>
      </w:pPr>
      <w:r>
        <w:rPr>
          <w:color w:val="000000"/>
        </w:rPr>
        <w:t>•</w:t>
      </w:r>
      <w:r>
        <w:rPr>
          <w:rFonts w:ascii="Times New Roman;serif" w:hAnsi="Times New Roman;serif"/>
          <w:b/>
          <w:color w:val="000000"/>
          <w:sz w:val="20"/>
        </w:rPr>
        <w:t>ATR-01</w:t>
      </w:r>
      <w:r>
        <w:rPr>
          <w:rFonts w:ascii="Times New Roman;serif" w:hAnsi="Times New Roman;serif"/>
          <w:b w:val="false"/>
          <w:color w:val="000000"/>
          <w:sz w:val="20"/>
        </w:rPr>
        <w:t xml:space="preserve">, a genetically modified strain of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that expresses an engineered recombinant human filaggrin protein for treating ichthyosis vulgaris, a chronic, xerotic (abnormally dry), scaly skin disease with an estimated incidence and prevalence of 1 in 250, which suggests a total patient population of 1.3 million in the United States. We completed lead optimization studies in 2025 and continue to perform IND-enabling studies in 2026.</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have established partnerships with teams from Carnegie Mellon University and the Fred Hutchinson Cancer Center, or Fred Hutch, two of the premier academic centers in the United States. Our collaboration with the Carnegie Mellon team takes advantage of the power of whole genome sequencing. This partnership is mining our proprietary library of bacterial strains for novel, drug like peptides and proteins. The artificial intelligence/machine learning technology developed by this team predicts the molecules made by microbes from their genetic sequences. The system then compares the predictions to the produced products through tandem mass spectroscopy and/or nuclear magnetic resonance imaging to refine future predictions. The predictions can be compared to publicly available 2D and 3D protein databases to select drug like structures.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hold an exclusive, worldwide license from Fred Hutch regarding the use of its patented SyMPL technologies for all fields of genetic engineering, including to discover, develop and commercialize engineered microbial therapies and microbial-derived peptides and proteins for skin diseases. To date, our team has successfully engineered our lead therapeutic candidates without the SyMPL technology. However, we believe that SyMPL will open up the ability to make genetic transformations of an expanded universe of microbial species, and we expect that some or all of our future product candidates will incorporate the SyMPL technology.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Beyond our three lead product candidates, our goal is to develop a broad portfolio of product candidates focused on expanding the application of our platforms for precision dermatology. We believe that we have established a unique position in advancing the development of biologics for precision dermatology.</w:t>
      </w:r>
    </w:p>
    <w:p>
      <w:pPr>
        <w:pStyle w:val="TextBody"/>
        <w:bidi w:val="0"/>
        <w:spacing w:before="0" w:after="240"/>
        <w:jc w:val="both"/>
        <w:rPr/>
      </w:pPr>
      <w:r>
        <w:rPr/>
        <w:drawing>
          <wp:inline distT="0" distB="0" distL="0" distR="0">
            <wp:extent cx="5943600" cy="26670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5943600" cy="2667000"/>
                    </a:xfrm>
                    <a:prstGeom prst="rect">
                      <a:avLst/>
                    </a:prstGeom>
                  </pic:spPr>
                </pic:pic>
              </a:graphicData>
            </a:graphic>
          </wp:inline>
        </w:drawing>
      </w:r>
      <w:bookmarkStart w:id="1" w:name="i-2"/>
      <w:bookmarkEnd w:id="1"/>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create a broad portfolio of product candidates for precision dermatology through our development of genetically engineered proteins selected from our proprietary microbial library of approximately 1,500 unique bacterial strains. Our strategy is as follows:</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Build a sustainable precision dermatology company. </w:t>
      </w:r>
      <w:r>
        <w:rPr>
          <w:rFonts w:ascii="Times New Roman;serif" w:hAnsi="Times New Roman;serif"/>
          <w:b w:val="false"/>
          <w:color w:val="000000"/>
          <w:sz w:val="20"/>
        </w:rPr>
        <w:t xml:space="preserve">Our goal is to build a leading precision dermatology company with a sustainable pipeline of product candidates. To that end, we are focused on rapidly advancing our current pipeline of live biotherapeutic candidates while actively developing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9745"/>
                <wp:effectExtent l="0" t="0" r="0" b="0"/>
                <wp:wrapNone/>
                <wp:docPr id="10" name="Frame8"/>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 product candidates. Each of our current product candidates are proprietary and subject to pending patent applications. We expect that most, if not all, genetically engineered product candidates we develop will be eligible for patent protection.</w:t>
      </w:r>
    </w:p>
    <w:p>
      <w:pPr>
        <w:pStyle w:val="TextBody"/>
        <w:bidi w:val="0"/>
        <w:spacing w:lineRule="auto" w:line="268" w:before="0" w:after="120"/>
        <w:ind w:left="0" w:right="0" w:hanging="360"/>
        <w:jc w:val="left"/>
        <w:rPr/>
      </w:pPr>
      <w:r>
        <w:rPr>
          <w:color w:val="000000"/>
        </w:rPr>
        <w:t>•</w:t>
      </w:r>
      <w:r>
        <w:rPr>
          <w:rFonts w:ascii="Times New Roman;serif" w:hAnsi="Times New Roman;serif"/>
          <w:b/>
          <w:i/>
          <w:color w:val="000000"/>
          <w:sz w:val="20"/>
        </w:rPr>
        <w:t xml:space="preserve">Advance our lead </w:t>
      </w:r>
      <w:r>
        <w:rPr>
          <w:rFonts w:ascii="Times New Roman;serif" w:hAnsi="Times New Roman;serif"/>
          <w:b/>
          <w:i/>
          <w:color w:val="000000"/>
          <w:sz w:val="20"/>
          <w:u w:val="single"/>
        </w:rPr>
        <w:t>programs</w:t>
      </w:r>
      <w:r>
        <w:rPr>
          <w:rFonts w:ascii="Times New Roman;serif" w:hAnsi="Times New Roman;serif"/>
          <w:b/>
          <w:i/>
          <w:color w:val="000000"/>
          <w:sz w:val="20"/>
        </w:rPr>
        <w:t>, ATR-12 and ATR-04, through clinical trials.</w:t>
      </w:r>
      <w:r>
        <w:rPr>
          <w:color w:val="000000"/>
        </w:rPr>
        <w:t xml:space="preserve"> </w:t>
      </w:r>
      <w:r>
        <w:rPr>
          <w:rFonts w:ascii="Times New Roman;serif" w:hAnsi="Times New Roman;serif"/>
          <w:b w:val="false"/>
          <w:color w:val="000000"/>
          <w:sz w:val="20"/>
        </w:rPr>
        <w:t xml:space="preserve">We have advanced two of our lead programs, ATR-12 and ATR-04, into first-in-human clinical trials in patients. ATR-12 is in development for the treatment of Netherton syndrome. We dosed the first patient in the ATR-12 Phase 1b/2a clinical trial in Netherton syndrome in August 2024. We reported initial safety results of the first five patients dosed in the trial in June 2025. Our second lead program is ATR-04 and is in the development for the treatment of EGFRi-associated rash. In August 2024, we received IND clearance from the FDA for a first-in-human Phase 1b/2a clinical trial in patients with EGFRi-associated rash, and in September 2024, the FDA granted Fast Track designation for the ATR-04 program. We dosed the first patient in this trial in the third quarter of 2025. We reported initial safety results of the first patients dosed in our Phase 1b clinical trial for our ATR-12 program in Netherton syndrome patients in the first half of 2025. </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Broaden our platform by selectively exploring strategic partnerships that maximize the potential of our precision dermatology programs.</w:t>
      </w:r>
      <w:r>
        <w:rPr>
          <w:color w:val="000000"/>
        </w:rPr>
        <w:t xml:space="preserve"> </w:t>
      </w:r>
      <w:r>
        <w:rPr>
          <w:rFonts w:ascii="Times New Roman;serif" w:hAnsi="Times New Roman;serif"/>
          <w:b w:val="false"/>
          <w:color w:val="000000"/>
          <w:sz w:val="20"/>
        </w:rPr>
        <w:t xml:space="preserve">We intend to maintain significant rights to all of our core technologies and product candidates. However, we will continue to evaluate partnering opportunities in which a strategic partner could help us to accelerate development of our technologies and product candidates, provide access to synergistic combinations, or provide expertise that could allow us to expand into the treatment of different types of skin diseases. We may also broaden the reach of our platform by selectively in-licensing technologies or product candidates. In addition, we will consider potentially out-licensing certain of our proprietary technologies for indications and industries that we are not ourselves pursuing. We believe our genetic engineering techniques and technologies have applicability outside of the field of medicine, including cosmetics and in the generation of clean fuels and bioremediation. </w:t>
      </w:r>
    </w:p>
    <w:p>
      <w:pPr>
        <w:pStyle w:val="TextBody"/>
        <w:bidi w:val="0"/>
        <w:spacing w:lineRule="auto" w:line="288" w:before="0" w:after="120"/>
        <w:ind w:left="0" w:right="0" w:hanging="360"/>
        <w:jc w:val="both"/>
        <w:rPr/>
      </w:pPr>
      <w:r>
        <w:rPr>
          <w:color w:val="000000"/>
        </w:rPr>
        <w:t>•</w:t>
      </w:r>
      <w:r>
        <w:rPr>
          <w:rFonts w:ascii="Times New Roman;serif" w:hAnsi="Times New Roman;serif"/>
          <w:b/>
          <w:i/>
          <w:color w:val="000000"/>
          <w:sz w:val="20"/>
        </w:rPr>
        <w:t xml:space="preserve">Leverage our academic partnerships. </w:t>
      </w:r>
      <w:r>
        <w:rPr>
          <w:rFonts w:ascii="Times New Roman;serif" w:hAnsi="Times New Roman;serif"/>
          <w:b w:val="false"/>
          <w:color w:val="000000"/>
          <w:sz w:val="20"/>
        </w:rPr>
        <w:t>We currently have partnerships with investigators at the Fred Hutchinson Cancer Center, Yale University, Duke University and Carnegie Mellon University. We have an exclusive license from the Fred Hutchinson Cancer Center covering DNA technologies, which enable the genetic transformation of strains that have previously been genetically intractable. Our collaboration with investigators at Carnegie Mellon University builds on an artificial intelligence and machine learning technology to predict the drug like molecules made by the microbes in our library. We have an ongoing scientific advisory board contract with Dr. Julia Oh of Duke University and have historically worked with Jackson Laboratories (Dr. Oh's previous employer) through sponsored research agreements for mouse and other experiments. We expect to leverage these partnerships and potentially expand them or form other academic partnerships to bolster our engineering platforms and expand our research and development pipeline.</w:t>
      </w:r>
    </w:p>
    <w:p>
      <w:pPr>
        <w:pStyle w:val="TextBody"/>
        <w:bidi w:val="0"/>
        <w:spacing w:lineRule="auto" w:line="288" w:before="0" w:after="240"/>
        <w:ind w:left="0" w:right="0" w:hanging="360"/>
        <w:jc w:val="both"/>
        <w:rPr/>
      </w:pPr>
      <w:r>
        <w:rPr>
          <w:color w:val="000000"/>
        </w:rPr>
        <w:t>•</w:t>
      </w:r>
      <w:r>
        <w:rPr>
          <w:rFonts w:ascii="Times New Roman;serif" w:hAnsi="Times New Roman;serif"/>
          <w:b/>
          <w:i/>
          <w:color w:val="000000"/>
          <w:sz w:val="20"/>
        </w:rPr>
        <w:t>Experienced management team and Board of Directors</w:t>
      </w:r>
      <w:r>
        <w:rPr>
          <w:rFonts w:ascii="Times New Roman;serif" w:hAnsi="Times New Roman;serif"/>
          <w:b w:val="false"/>
          <w:color w:val="000000"/>
          <w:sz w:val="20"/>
        </w:rPr>
        <w:t>. We are led by Francisco D. Salva, our chief executive officer, and Dr. Travis Whitfill MPH, our co-founder and chief operating officer, who have more than 35 years of combined experience in the management of biotechnology companies and healthcare investing. Mr. Salva was previously a co-founder of Acerta Pharma, which was sold to AstraZeneca for approximately $6.3 billion in a staged acquisition beginning in 2016. He also worked on the turnaround of Pharmacyclics, which subsequently sold to Abbvie for approximately $21 billion in 2015. Before that, Mr. Salva spent almost a decade in life sciences venture capital. Dr. Whitfill served as associate research scientist and currently serves as assistant professor adjunct at Yale University with appointments in the Departments of Pediatrics and Emergency Medicine. He spent nearly a decade in venture capital as a partner in a biotech-focused venture capital fund, Bios Partners. He has led numerous grant-funded projects, holds nearly a dozen patents and has co-authored over 60 publications. Our board of directors, or Board, is comprised of renowned group of senior executives, scientists and investors in the biotechnology industry</w:t>
      </w:r>
      <w:r>
        <w:rPr>
          <w:rFonts w:ascii="Times New Roman;serif" w:hAnsi="Times New Roman;serif"/>
          <w:b/>
          <w:i/>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99745"/>
                <wp:effectExtent l="0" t="0" r="0" b="0"/>
                <wp:wrapNone/>
                <wp:docPr id="11" name="Frame9"/>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Our Microbial and Microbial Drug Delivery Platform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Commensal microorganisms reside on either the surface of the body or in the mucosa without harming human health. They act on the host’s immune system to induce protective responses that prevent colonization and invasion by infectious pathogens and thereby play a crucial role in maintaining human health across a number of organ systems, particularly in the skin. Diverse communities of microorganisms populate the skin, and a square centimeter can contain up to a billion microorganisms. These diverse communities of bacteria, fungi, mites and viruses can provide protection against disease and form dynamic, yet distinct niches on the skin. Together, they make up the skin microbiome.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Many genetically driven human diseases are systemically or partially related to the dysfunction of specific proteins that are missing or functionally inert due to a mutation. Since approximately 1982, the biopharmaceutical industry has been genetically engineering recombinant proteins in bacterial microorganisms for purposes providing therapies that mimic or support the body’s normally functioning proteins and peptides. For decades, the vast majority of genetic engineering has been limited to primary </w:t>
      </w:r>
      <w:r>
        <w:rPr>
          <w:rFonts w:ascii="Times New Roman;serif" w:hAnsi="Times New Roman;serif"/>
          <w:b w:val="false"/>
          <w:i/>
          <w:color w:val="000000"/>
          <w:sz w:val="20"/>
        </w:rPr>
        <w:t>E. coli</w:t>
      </w:r>
      <w:r>
        <w:rPr>
          <w:color w:val="000000"/>
        </w:rPr>
        <w:t xml:space="preserve"> </w:t>
      </w:r>
      <w:r>
        <w:rPr>
          <w:rFonts w:ascii="Times New Roman;serif" w:hAnsi="Times New Roman;serif"/>
          <w:b w:val="false"/>
          <w:color w:val="000000"/>
          <w:sz w:val="20"/>
        </w:rPr>
        <w:t xml:space="preserve">and a handful of other bacterial species, many of which can become pathogenic, inducing infection. In contrast, we have chosen to focus on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because of its beneficial effects as a commensal, naturally occurring microbe on the skin. Our goal is to leverage our platform and internal microbial library of over 60 bacterial species to engineer and deliver commensal skin bacteria directly to the target through the stratum corneum of the skin. At these deeper levels in the skin, engineered microbes can produce the missing or inert proteins and thereby resolve the underlying disease cause.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 epidermidis and Our Proprietary Microbial Library</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is a strong therapeutic candidate species due to a number of well-described properties in the skin.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 xml:space="preserve">is a gram-positive bacterium that is ubiquitous in the human skin and mucosal flora. As one of the earliest colonizers of the skin,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plays an important role in cutaneous immunity and maintaining microbial community homeostasis.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 xml:space="preserve">is known to have a beneficial relationship with its host as a skin commensal. The species has shown inhibition of the pathogenic strain, </w:t>
      </w:r>
      <w:r>
        <w:rPr>
          <w:rFonts w:ascii="Times New Roman;serif" w:hAnsi="Times New Roman;serif"/>
          <w:b w:val="false"/>
          <w:i/>
          <w:color w:val="000000"/>
          <w:sz w:val="20"/>
        </w:rPr>
        <w:t>Staphylococcus aureus, or S. aureus,</w:t>
      </w:r>
      <w:r>
        <w:rPr>
          <w:color w:val="000000"/>
        </w:rPr>
        <w:t xml:space="preserve"> </w:t>
      </w:r>
      <w:r>
        <w:rPr>
          <w:rFonts w:ascii="Times New Roman;serif" w:hAnsi="Times New Roman;serif"/>
          <w:b w:val="false"/>
          <w:color w:val="000000"/>
          <w:sz w:val="20"/>
        </w:rPr>
        <w:t xml:space="preserve">as well as the strain </w:t>
      </w:r>
      <w:r>
        <w:rPr>
          <w:rFonts w:ascii="Times New Roman;serif" w:hAnsi="Times New Roman;serif"/>
          <w:b w:val="false"/>
          <w:i/>
          <w:color w:val="000000"/>
          <w:sz w:val="20"/>
        </w:rPr>
        <w:t>Cutibacterium acnes</w:t>
      </w:r>
      <w:r>
        <w:rPr>
          <w:rFonts w:ascii="Times New Roman;serif" w:hAnsi="Times New Roman;serif"/>
          <w:b w:val="false"/>
          <w:color w:val="000000"/>
          <w:sz w:val="20"/>
        </w:rPr>
        <w:t>, or</w:t>
      </w:r>
      <w:r>
        <w:rPr>
          <w:color w:val="000000"/>
        </w:rPr>
        <w:t xml:space="preserve"> </w:t>
      </w:r>
      <w:r>
        <w:rPr>
          <w:rFonts w:ascii="Times New Roman;serif" w:hAnsi="Times New Roman;serif"/>
          <w:b w:val="false"/>
          <w:i/>
          <w:color w:val="000000"/>
          <w:sz w:val="20"/>
        </w:rPr>
        <w:t>C. acnes</w:t>
      </w:r>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 xml:space="preserve">induces keratinocytes to produce antimicrobial peptides and produces non-inflammatory T cell accumulation of both CD4+ and CD8+ T cells via immune cell signaling. The T cell responses induce re-epithelization of the skin after injury, accelerating repair and wound closure. For these reasons, we believe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offers several advantages as a vector for topical delivery of therapeutic proteins.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their 2019 study, Stacy and Belkaid, world-leading experts in the skin microbiome, described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as “a ‘poster child’ of the skin microbiota to illustrate the remarkable diversity of functions a microbe can exert on skin physiology and health.” We believe that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has enormous strain diversity that can be exploited for therapeutic purposes. In the 2020 Oh Study, Julia Oh’s lab reported that 1,482 unique strains of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were present on only five individuals. These strains had not only significant genetic diversity but also large phenotypic diversity. We believe this large inter-strain variation among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 xml:space="preserve">can be exploited. To that end, we collected samples from healthy volunteers to develop and characterize our own strain library of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that includes over 900 unique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strains with potential for therapeutic use. We have used this microbial library to screen against selected properties, including antimicrobial peptide secretion, </w:t>
      </w:r>
      <w:r>
        <w:rPr>
          <w:rFonts w:ascii="Times New Roman;serif" w:hAnsi="Times New Roman;serif"/>
          <w:b w:val="false"/>
          <w:i/>
          <w:color w:val="000000"/>
          <w:sz w:val="20"/>
        </w:rPr>
        <w:t>S. aureus</w:t>
      </w:r>
      <w:r>
        <w:rPr>
          <w:color w:val="000000"/>
        </w:rPr>
        <w:t xml:space="preserve"> </w:t>
      </w:r>
      <w:r>
        <w:rPr>
          <w:rFonts w:ascii="Times New Roman;serif" w:hAnsi="Times New Roman;serif"/>
          <w:b w:val="false"/>
          <w:color w:val="000000"/>
          <w:sz w:val="20"/>
        </w:rPr>
        <w:t xml:space="preserve">killing, antibiotic sensitivity, and other therapeutically relevant characteristics. We have also collected other species in our library that includes roughly 60 different skin commensal species that can also be screened for therapeutic purposes. </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9745"/>
                <wp:effectExtent l="0" t="0" r="0" b="0"/>
                <wp:wrapNone/>
                <wp:docPr id="12" name="Frame10"/>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
        <w:jc w:val="left"/>
        <w:rPr/>
      </w:pPr>
      <w:r>
        <w:rPr/>
      </w:r>
    </w:p>
    <w:p>
      <w:pPr>
        <w:pStyle w:val="TextBody"/>
        <w:bidi w:val="0"/>
        <w:spacing w:before="0" w:after="240"/>
        <w:jc w:val="center"/>
        <w:rPr/>
      </w:pPr>
      <w:r>
        <w:rPr/>
        <w:drawing>
          <wp:inline distT="0" distB="0" distL="0" distR="0">
            <wp:extent cx="5943600" cy="2209800"/>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5943600" cy="2209800"/>
                    </a:xfrm>
                    <a:prstGeom prst="rect">
                      <a:avLst/>
                    </a:prstGeom>
                  </pic:spPr>
                </pic:pic>
              </a:graphicData>
            </a:graphic>
          </wp:inline>
        </w:drawing>
      </w:r>
      <w:bookmarkStart w:id="2" w:name="i-3"/>
      <w:bookmarkEnd w:id="2"/>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Figure 1. Representative Species in Azitra Microbial Library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Predictive Analysis of Our Microbial Library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biopharmaceutical industry has seen success in identifying and isolating thousands of bacterial species. Yet only a relatively few such species, believed to be less than 20, have been engineered to produce proteins or peptides with therapeutic potential. We have partnered with Chemia Biosciences, Inc., a research and development group from Carnegie Mellon University. Through our collaboration with Chemia Biosciences, we are able to use their proprietary genomic and peptidomic artificial intelligence and machine learning system, NRPMiner, to develop and confirm natural product predictions of the proteins, peptides and small molecules that are generated by our proprietary bacterial library. These predictions are confirmed via tandem mass spectroscopy or nuclear magnetic resonance. The information is then fed back into the machine learning algorithm to refine the predictions. It can also be compared to existing 2D and 3D protein databases to look for structural homology of our products to existing protein and peptide drugs. We believe our collaboration with the Carnegie Mellon based team provides us with a scalable and modification tolerant way to accelerate therapeutic discoveries within our microbial library.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Delivery of our Microbially Produced Drugs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delivery of genetically engineered proteins to the subcutaneous target sites is hindered by the natural barrier and the defenses of the stratum corneum. This is the skin’s outermost layer, which acts as a barrier that prevents unwanted materials from entering the body. To address this challenge, we have developed a proprietary process capable of facilitating protein delivery in a manner that bypasses the normally impenetrable stratum corneum. The strategy utilizes the ability of particular microbes to infiltrate into the deeper layers of the skin. There, the genetically modified microbes act as miniature factories to produce a therapeutic protein or molecule where it is needed.</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Our protein delivery capability for treating skin conditions is based on engineering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and other microbes to secrete proteins for drug delivery into the skin. We believe any number of proteins can be engineered and encoded by our bacteria to be produced and delivered to the skin to treat a variety of skin conditions. We have also added key proprietary features in its platform to facilitate protein delivery. A key feature of this system is that it bypasses the normally impenetrable skin barrier, a problem of topical protein delivery. The skin barrier, composed of the stratum corneum, is sealed by enucleated keratinocytes and formed by numerous structural, physical, and biochemical properties. Other transdermal delivery challenges arise due to susceptibility of protein to enzymatic digestion by proteases and solubility and diffusion impediments due the hydrophobic surface and the layers of linked corneocytes comprising the stratum corneum. We address this issue by leveraging the natural homing of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to layers below the stratum corneum. In preclinical studies, we have shown that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homes to layers below the stratum corneum and delivers proteins into the deeper epidermis.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99745"/>
                <wp:effectExtent l="0" t="0" r="0" b="0"/>
                <wp:wrapNone/>
                <wp:docPr id="14" name="Frame11"/>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expand upon our recombinant protein construction capabilities, we have acquired an exclusive license to proprietary technology that disguises our genetically engineered DNA sequences to enable the production of proteins in previously intractable bacterial species. The technology from the Fred Hutch expands the universe of bacterial species that can be genetically modified. It is based upon a restriction modification system-silent SyMPL toolset. The SyMPL technology platform makes human-made DNA invisible to the bacteria’s defenses. In theory, the method can be applied to any type of bacteria. Our current product candidates do not incorporate the SyMPL technology platform, but we expect that some or all of our future product candidates will do so.</w:t>
      </w:r>
    </w:p>
    <w:p>
      <w:pPr>
        <w:pStyle w:val="TextBody"/>
        <w:bidi w:val="0"/>
        <w:spacing w:lineRule="auto" w:line="288" w:before="0" w:after="240"/>
        <w:ind w:left="0" w:right="0" w:firstLine="720"/>
        <w:jc w:val="both"/>
        <w:rPr/>
      </w:pPr>
      <w:r>
        <w:rPr>
          <w:rFonts w:ascii="Times New Roman;serif" w:hAnsi="Times New Roman;serif"/>
          <w:b w:val="false"/>
          <w:color w:val="000000"/>
          <w:sz w:val="20"/>
        </w:rPr>
        <w:t>Virtually all strains of naturally occurring bacteria have defense mechanisms called restriction modification systems. The four types of restriction modification systems recognize and defend against insertion of foreign DNA used to code recombinant proteins. Functional genetic engineering of S</w:t>
      </w:r>
      <w:r>
        <w:rPr>
          <w:rFonts w:ascii="Times New Roman;serif" w:hAnsi="Times New Roman;serif"/>
          <w:b w:val="false"/>
          <w:i/>
          <w:color w:val="000000"/>
          <w:sz w:val="20"/>
        </w:rPr>
        <w:t xml:space="preserve">. epidermidis </w:t>
      </w:r>
      <w:r>
        <w:rPr>
          <w:rFonts w:ascii="Times New Roman;serif" w:hAnsi="Times New Roman;serif"/>
          <w:b w:val="false"/>
          <w:color w:val="000000"/>
          <w:sz w:val="20"/>
        </w:rPr>
        <w:t xml:space="preserve">(as well as </w:t>
      </w:r>
      <w:r>
        <w:rPr>
          <w:rFonts w:ascii="Times New Roman;serif" w:hAnsi="Times New Roman;serif"/>
          <w:b w:val="false"/>
          <w:i/>
          <w:color w:val="000000"/>
          <w:sz w:val="20"/>
        </w:rPr>
        <w:t>S. aureus</w:t>
      </w:r>
      <w:r>
        <w:rPr>
          <w:rFonts w:ascii="Times New Roman;serif" w:hAnsi="Times New Roman;serif"/>
          <w:b w:val="false"/>
          <w:color w:val="000000"/>
          <w:sz w:val="20"/>
        </w:rPr>
        <w:t xml:space="preserve">) has previously been limited due to the presence of Type I and IV restriction systems in virtually all strains of these bacterial species. These restriction systems recognize methylated cytosine bases in DNA from standard clone expansion systems (such as </w:t>
      </w:r>
      <w:r>
        <w:rPr>
          <w:rFonts w:ascii="Times New Roman;serif" w:hAnsi="Times New Roman;serif"/>
          <w:b w:val="false"/>
          <w:i/>
          <w:color w:val="000000"/>
          <w:sz w:val="20"/>
        </w:rPr>
        <w:t>E. coli)</w:t>
      </w:r>
      <w:r>
        <w:rPr>
          <w:color w:val="000000"/>
        </w:rPr>
        <w:t xml:space="preserve"> </w:t>
      </w:r>
      <w:r>
        <w:rPr>
          <w:rFonts w:ascii="Times New Roman;serif" w:hAnsi="Times New Roman;serif"/>
          <w:b w:val="false"/>
          <w:color w:val="000000"/>
          <w:sz w:val="20"/>
        </w:rPr>
        <w:t xml:space="preserve">and hinder incorporation of foreign DNA in the microbe.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was once believed to be an “untransformable” strain due to its genetic intractability. However, we have been able to overcome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defenses.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Current genetic engineering processes add specific modifications to disguise human made DNA to trick the bacterium into thinking the intruder is a part of its own DNA. This approach often takes considerable time and resources to try to match the right disguise to each particular recognition motif. In contrast, Fred Hutch’s SyMPL technology platform is a systematic “stealth-by-engineering” approach to overcome restriction modification defense systems. These restriction modification defense systems protect microbes from foreign DNA and hinder the vast majority of genetic engineering approaches. The SyMPL technology platform is based on the ability to build minicircle DNA plasmids which lack any of the target recognition motifs for the microbe’s defense systems to identify. The technology uses the genome and methylome from a target bacteria’s genomic sequence to identify the restriction modification target motifs. They are then eliminated from the nucleotide sequence of the genetic tool </w:t>
      </w:r>
      <w:r>
        <w:rPr>
          <w:rFonts w:ascii="Times New Roman;serif" w:hAnsi="Times New Roman;serif"/>
          <w:b w:val="false"/>
          <w:i/>
          <w:color w:val="000000"/>
          <w:sz w:val="20"/>
        </w:rPr>
        <w:t>in silico</w:t>
      </w:r>
      <w:r>
        <w:rPr>
          <w:rFonts w:ascii="Times New Roman;serif" w:hAnsi="Times New Roman;serif"/>
          <w:b w:val="false"/>
          <w:color w:val="000000"/>
          <w:sz w:val="20"/>
        </w:rPr>
        <w:t>. The resulting sequence is used to build the restriction modification, SyMPL tools. These are propagated and then used for genetic transformations. Not only does the “stealth by engineering” approach enable transformations in genetically intractable bacterial strains, but it has also been shown to drastically increase transformational efficiency. Proof of principle experiments have shown improvements of over 10,000x in yields of genetically engineered colonies.</w:t>
      </w:r>
    </w:p>
    <w:p>
      <w:pPr>
        <w:pStyle w:val="TextBody"/>
        <w:bidi w:val="0"/>
        <w:spacing w:lineRule="auto" w:line="288" w:before="0" w:after="240"/>
        <w:ind w:left="0" w:right="0" w:firstLine="720"/>
        <w:jc w:val="both"/>
        <w:rPr/>
      </w:pPr>
      <w:r>
        <w:rPr>
          <w:rFonts w:ascii="Times New Roman;serif" w:hAnsi="Times New Roman;serif"/>
          <w:b w:val="false"/>
          <w:color w:val="000000"/>
          <w:sz w:val="20"/>
        </w:rPr>
        <w:t>In January 2022, Fred Hutch granted us an exclusive worldwide, royalty bearing license to the patent rights, and a non-exclusive worldwide, royalty bearing license to the related know-how, for the SyMPL technology platform in all fields of use. For more information related to the intellectual property acquired pursuant to the Fred Hutch license agreement, see the section titled “</w:t>
      </w:r>
      <w:r>
        <w:rPr>
          <w:rFonts w:ascii="Times New Roman;serif" w:hAnsi="Times New Roman;serif"/>
          <w:b w:val="false"/>
          <w:i/>
          <w:color w:val="000000"/>
          <w:sz w:val="20"/>
        </w:rPr>
        <w:t>Licenses and Intellectual Property Rights - Exclusive License Agreement with Fred Hutchinson Cancer Center</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Our Product Candidates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ATR-12 for the treatment of Netherton syndrome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ATR-12 is our proprietary and patent-pending drug programe that contains a novel strain of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called SE351, which has been genetically modified to express and secrete an active fragment of the full-length protein called the lympho-epithelial Kazal-type related inhibitor, or LEKTI. It has also been engineered to be auxotrophic, meaning that it requires the D-alanine nutrient in its formulation to survive and propagate. This provides an additional level of safety against unintentional and environmental exposure to the strain. ATR-12-351 is a topical formulation containing SE351 intended to address the underlying cause of Netherton syndrome, by replacing deficient LEKTI with an active segment of human recombinant LEKTI, or rhLEKTI-D6, to counter the dysregulated skin serine protease activity observed in Netherton syndrome patients. The uncontrolled serine protease activity leads to a profound skin barrier defect and the release of pro-inflammatory and pro-allergic mediators by keratinocytes and immune cells. To date, there is no known therapy for the cure or effective treatment of Netherton syndrome. We believe ATR-12 has the potential to be the first therapy to effectively treat this disease of the skin.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9745"/>
                <wp:effectExtent l="0" t="0" r="0" b="0"/>
                <wp:wrapNone/>
                <wp:docPr id="15" name="Frame12"/>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Based on the Barbati and Sun Studies, we believe that ATR-12 represents a potential $250 million global sales opportunity by mid-2030.</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Netherton syndrome overview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Netherton syndrome is a rare, autosomal recessive disease estimated to affect approximately one in every 200,000, but its prevalence may be underestimated due to misdiagnosis. It is a chronic disease of the skin, characterized by severe inflammation, pruritus, scaling, red, and dehydrated skin. Infants born with Netherton syndrome may suffer from a failure to thrive, and it has been reported that approximately one in ten infants with Netherton syndrome die in their first year of life. Those that survive face a lifetime of skin disease challenges including red, scaly skin, hair defects and an ongoing higher than normal risk for infection and allergy.</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Netherton syndrome is caused by mutations in the </w:t>
      </w:r>
      <w:r>
        <w:rPr>
          <w:rFonts w:ascii="Times New Roman;serif" w:hAnsi="Times New Roman;serif"/>
          <w:b w:val="false"/>
          <w:i/>
          <w:color w:val="000000"/>
          <w:sz w:val="20"/>
        </w:rPr>
        <w:t>SPINK5</w:t>
      </w:r>
      <w:r>
        <w:rPr>
          <w:color w:val="000000"/>
        </w:rPr>
        <w:t xml:space="preserve"> </w:t>
      </w:r>
      <w:r>
        <w:rPr>
          <w:rFonts w:ascii="Times New Roman;serif" w:hAnsi="Times New Roman;serif"/>
          <w:b w:val="false"/>
          <w:color w:val="000000"/>
          <w:sz w:val="20"/>
        </w:rPr>
        <w:t>gene, which codes for the serine protease inhibitor Lympho-epithelial Kazal-type related inhibitor, or LEKTI. The function of LEKTI is to inhibit enzymes in the epidermis, such as kallikreins 5, 7 and 14, or KLK5, KLK7 and KLK14, which facilitate the shedding of skin cells in a process known as desquamation. When LEKTI is absent or has reduced activity, excess shedding results and the skin is sensitive, open, and appears red and scaly. This is accompanied by the detachment of the stratum corneum, leading to severe barrier dysfunction, dehydration and potential exposure to environmental agents, such as chemicals. Histopathology and immunofluorescence staining of skin from a Netherton syndrome patient compared to healthy volunteer reveal an absence of LEKTI and abnormalities in the skin such hyperkeratosis, epidermal thickening, and reduction of the basophilic keratohyalin granules.</w:t>
      </w:r>
    </w:p>
    <w:p>
      <w:pPr>
        <w:pStyle w:val="TextBody"/>
        <w:bidi w:val="0"/>
        <w:spacing w:before="0" w:after="240"/>
        <w:jc w:val="center"/>
        <w:rPr/>
      </w:pPr>
      <w:r>
        <w:rPr/>
      </w:r>
    </w:p>
    <w:p>
      <w:pPr>
        <w:pStyle w:val="TextBody"/>
        <w:bidi w:val="0"/>
        <w:spacing w:before="0" w:after="240"/>
        <w:jc w:val="both"/>
        <w:rPr/>
      </w:pPr>
      <w:r>
        <w:rPr/>
        <w:drawing>
          <wp:inline distT="0" distB="0" distL="0" distR="0">
            <wp:extent cx="5943600" cy="28956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5943600" cy="2895600"/>
                    </a:xfrm>
                    <a:prstGeom prst="rect">
                      <a:avLst/>
                    </a:prstGeom>
                  </pic:spPr>
                </pic:pic>
              </a:graphicData>
            </a:graphic>
          </wp:inline>
        </w:drawing>
      </w:r>
      <w:bookmarkStart w:id="3" w:name="i-4"/>
      <w:bookmarkEnd w:id="3"/>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Figure 2: Netherton syndrome pathophysiology and LEKTI deficiency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Netherton syndrome can range in severity from mild, such as red patchy areas of the skin, to life threatening. The degree of severity of the disease correlates directly with the extent of loss of function of LEKTI on the skin. Netherton syndrome appears shortly after birth and is most severe in the first year of an infant’s life. Survival beyond the first year is common in most cases, but the implications of the disease are a lifelong challenge.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date, there is no known cure for Netherton syndrome and treatment options are limited. Dermatologic interventions to treat the severe skin manifestations of Netherton syndrome include moisturizers, topical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9745"/>
                <wp:effectExtent l="0" t="0" r="0" b="0"/>
                <wp:wrapNone/>
                <wp:docPr id="17" name="Frame13"/>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corticosteroids, and calcineurin inhibitors, all of which are limited in that they do not provide sustained remediation. Given the severity of disease during neonatal stages, fluid/electrolyte and diet support are needed in addition to treating infections that often arise in these patients. While immunoglobulin therapy to address immunodeficiencies associated with Netherton syndrome has shown limited success, a sustained remediation of skin barrier defects, induced by dysregulation of LEKTI, is currently unavailable.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Our solution – ATR-12 for the treatment of Netherton syndrome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ATR-12-351 is a topical ointment containing an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strain, SE351, that has been genetically modified to express LEKTI from the chromosome. The SE351 strain has also been engineered to be auxotrophic for D-alanine, which means it cannot survive without the exogenous D-alanine nutrient provided in the formulation. ATR-12 is intended to address the underlying cause of Netherton syndrome by replacing deficient/dysfunctional LEKTI with an active, recombinant, human fragment of the full-length protein, rhLEKTI-D6. The treatment consists of applying ATR-12 to affected areas. rhLEKTI-D6 produced by SE351 will counter the dysregulated skin serine protease activity observed in Netherton syndrome patients, to restore skin barrier function and reduce inflammation. We believe that among the important advantages of this approach is the potential to deliver rhLEKTI-D6 over time into the lower layers of the stratum corneum and epidermis, the primary sites of dysregulation in patients with Netherton syndrome.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strain selected to deliver rhLEKTI-D6 to the skin, SE351, was selected from our proprietary strain collection. This strain is characterized by low virulence and is a non-biofilm forming host strain. To further enhance the safety of ATR-12, we have engineered the microbe for D-alanine to be auxotrophic. The key advantage to engineering auxotrophy is the ability to control growth and halt potential infection. Full length human LEKTI, a 15-domain protein (145 kDa), is too large for reliable bacterial expression and secretion. Given evidence that fragments of the full-length protein are sufficient to counter the dysregulated skin serine protease activity observed in Netherton syndrome patients, we selected D6 for recombinant expression in </w:t>
      </w:r>
      <w:r>
        <w:rPr>
          <w:rFonts w:ascii="Times New Roman;serif" w:hAnsi="Times New Roman;serif"/>
          <w:b w:val="false"/>
          <w:i/>
          <w:color w:val="000000"/>
          <w:sz w:val="20"/>
        </w:rPr>
        <w:t>S. epidermidis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2020, we received Rare Pediatric Disease Designation from the FDA for ATR-12. As a result, if we are able to obtain approval for ATR-12 from the FDA in pediatrics, we will be eligible to receive a Priority Review Voucher, which can be used by us to obtain FDA review of a New Drug Application or Biologics License Application for this or another drug candidate in an expedited period of six months. These vouchers are often transferable, and some have been sold for over $100 million.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Preclinical data for ATR-12</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As of the date of this report, we have conducted several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ex vivo </w:t>
      </w:r>
      <w:r>
        <w:rPr>
          <w:rFonts w:ascii="Times New Roman;serif" w:hAnsi="Times New Roman;serif"/>
          <w:b w:val="false"/>
          <w:color w:val="000000"/>
          <w:sz w:val="20"/>
        </w:rPr>
        <w:t xml:space="preserve">experiments that collectively support the potential efficacy of ATR-12-351 as a disease modifying therapy for patients with Netherton syndrome. The genetically engineered strain of S. epidermidis used in the formulated ATR-12 drug product is called SE351. In 2021, we conducted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studies to assess the ability of exogenously applied SE351 to colonize sterile reconstructed human epidermis. SE351 successfully colonized the reconstructed human epidermis and, furthermore, no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colonization occurred without D-alanine present, confirming that D-alanine must be supplied for SE351 growth on skin. These data suggest that SE351 is capable of colonizing human skin, and that colonization can be controlled with D-alanine supplementation.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Additionally, </w:t>
      </w:r>
      <w:r>
        <w:rPr>
          <w:rFonts w:ascii="Times New Roman;serif" w:hAnsi="Times New Roman;serif"/>
          <w:b w:val="false"/>
          <w:i/>
          <w:color w:val="000000"/>
          <w:sz w:val="20"/>
        </w:rPr>
        <w:t xml:space="preserve">in vitro </w:t>
      </w:r>
      <w:r>
        <w:rPr>
          <w:rFonts w:ascii="Times New Roman;serif" w:hAnsi="Times New Roman;serif"/>
          <w:b w:val="false"/>
          <w:color w:val="000000"/>
          <w:sz w:val="20"/>
        </w:rPr>
        <w:t>studies using tape stripped skin from healthy volunteers spiked with KLK5 to mimic Netherton syndrome showed that diluted SE351 culture supernatant dose-dependently inhibited trypsin-like activity (KLK5 activity). Trypsin-like activity in the Netherton syndrome surrogates returned to normal healthy levels when a solution containing ≥0.5% of the SE351 culture supernatant was added.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9745"/>
                <wp:effectExtent l="0" t="0" r="0" b="0"/>
                <wp:wrapNone/>
                <wp:docPr id="18" name="Frame14"/>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center"/>
        <w:rPr/>
      </w:pPr>
      <w:r>
        <w:rPr/>
        <w:drawing>
          <wp:inline distT="0" distB="0" distL="0" distR="0">
            <wp:extent cx="5943600" cy="2847975"/>
            <wp:effectExtent l="0" t="0" r="0" b="0"/>
            <wp:docPr id="1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5" descr=""/>
                    <pic:cNvPicPr>
                      <a:picLocks noChangeAspect="1" noChangeArrowheads="1"/>
                    </pic:cNvPicPr>
                  </pic:nvPicPr>
                  <pic:blipFill>
                    <a:blip r:embed="rId6"/>
                    <a:stretch>
                      <a:fillRect/>
                    </a:stretch>
                  </pic:blipFill>
                  <pic:spPr bwMode="auto">
                    <a:xfrm>
                      <a:off x="0" y="0"/>
                      <a:ext cx="5943600" cy="2847975"/>
                    </a:xfrm>
                    <a:prstGeom prst="rect">
                      <a:avLst/>
                    </a:prstGeom>
                  </pic:spPr>
                </pic:pic>
              </a:graphicData>
            </a:graphic>
          </wp:inline>
        </w:drawing>
      </w:r>
      <w:bookmarkStart w:id="4" w:name="i-5"/>
      <w:bookmarkEnd w:id="4"/>
      <w:r>
        <w:rPr>
          <w:color w:val="000000"/>
        </w:rPr>
        <w:t xml:space="preserve"> </w:t>
      </w:r>
    </w:p>
    <w:p>
      <w:pPr>
        <w:pStyle w:val="TextBody"/>
        <w:bidi w:val="0"/>
        <w:spacing w:lineRule="auto" w:line="288" w:before="0" w:after="240"/>
        <w:jc w:val="both"/>
        <w:rPr/>
      </w:pPr>
      <w:r>
        <w:rPr>
          <w:rFonts w:ascii="Times New Roman;serif" w:hAnsi="Times New Roman;serif"/>
          <w:b/>
          <w:color w:val="000000"/>
          <w:sz w:val="20"/>
        </w:rPr>
        <w:t xml:space="preserve">Figure 3: </w:t>
      </w:r>
      <w:r>
        <w:rPr>
          <w:rFonts w:ascii="Times New Roman;serif" w:hAnsi="Times New Roman;serif"/>
          <w:b/>
          <w:i/>
          <w:color w:val="000000"/>
          <w:sz w:val="20"/>
        </w:rPr>
        <w:t>In Vitro</w:t>
      </w:r>
      <w:r>
        <w:rPr>
          <w:color w:val="000000"/>
        </w:rPr>
        <w:t xml:space="preserve"> </w:t>
      </w:r>
      <w:r>
        <w:rPr>
          <w:rFonts w:ascii="Times New Roman;serif" w:hAnsi="Times New Roman;serif"/>
          <w:b/>
          <w:color w:val="000000"/>
          <w:sz w:val="20"/>
        </w:rPr>
        <w:t>Netherton Syndrome Model Using Human Skin Tape Strip Extracts Supplemented with Disease Level KLK5 Activity</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addition, results from an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 xml:space="preserve">pig skin model demonstrate that a single topical dose of ATR-12-351 at 3 dose levels led to secretion of active rhLEKTI-D6. Finally, data from an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healthy human skin model demonstrate that a single topical dose of ATR-12-351 administered at the maximum intended dose of 10</w:t>
      </w: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CFU/g delivers enough active rhLEKTI-D6 into the lower layers of the stratum corneum to effectively inhibit the protease, kallikrein 5, or KLK5, at levels typically observed in patients with Netherton syndrome.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particular, data from an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healthy human skin model demonstrate that a single topical dose of ATR-12 administered at the maximum intended dose of 10</w:t>
      </w: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 xml:space="preserve">Colony Forming Units per gram, or CFU/g, delivers enough active rhLEKTI-D6 into the lower layers of the stratum corneum to effectively inhibit KLK5 at levels typically observed in patients with Netherton syndrome. Amounts of LEKTI activity in layers extracted were from tape strip samples from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human skin treated with vehicle and ATR-12-351. The collection proceeded right after skin application (T = 0 hours, white bars) or after 8 hours incubation at 30°C (T = 8 hours, black bars). Total LEKTI activity levels were obtained by adding the pmol amounts through layers 1 to 30 of vehicle (grey bars) or ATR-12 (black bars) samples. Data are the average ± a standard deviation (SD) of 3 independent samples (N = 3). Statistical analysis was carried out using two-way ANOVA, and ** represents p &lt;0.01.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9745"/>
                <wp:effectExtent l="0" t="0" r="0" b="0"/>
                <wp:wrapNone/>
                <wp:docPr id="20" name="Frame15"/>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center"/>
        <w:rPr/>
      </w:pPr>
      <w:r>
        <w:rPr/>
        <w:drawing>
          <wp:inline distT="0" distB="0" distL="0" distR="0">
            <wp:extent cx="6029325" cy="1933575"/>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6029325" cy="1933575"/>
                    </a:xfrm>
                    <a:prstGeom prst="rect">
                      <a:avLst/>
                    </a:prstGeom>
                  </pic:spPr>
                </pic:pic>
              </a:graphicData>
            </a:graphic>
          </wp:inline>
        </w:drawing>
      </w:r>
      <w:bookmarkStart w:id="5" w:name="i-6"/>
      <w:bookmarkEnd w:id="5"/>
      <w:r>
        <w:rPr>
          <w:color w:val="000000"/>
        </w:rPr>
        <w:t xml:space="preserve">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Figure 4: LEKTI activity in Vehicle and ATR-12-Treated Skin Samples Following 0- and 8-hour Incubation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a single therapeutic dose of ATR-12-351 over 24-hour incubation yielded ~2-fold higher LEKTI activity compared to 8-hour incubation. This indicates continuous production of functional rhLEKTI-D6 by ATR-12 over time.</w:t>
      </w:r>
    </w:p>
    <w:p>
      <w:pPr>
        <w:pStyle w:val="TextBody"/>
        <w:bidi w:val="0"/>
        <w:spacing w:lineRule="auto" w:line="288" w:before="0" w:after="240"/>
        <w:jc w:val="center"/>
        <w:rPr/>
      </w:pPr>
      <w:r>
        <w:rPr/>
        <w:drawing>
          <wp:inline distT="0" distB="0" distL="0" distR="0">
            <wp:extent cx="5524500" cy="192405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5524500" cy="1924050"/>
                    </a:xfrm>
                    <a:prstGeom prst="rect">
                      <a:avLst/>
                    </a:prstGeom>
                  </pic:spPr>
                </pic:pic>
              </a:graphicData>
            </a:graphic>
          </wp:inline>
        </w:drawing>
      </w:r>
      <w:bookmarkStart w:id="6" w:name="i-7"/>
      <w:bookmarkEnd w:id="6"/>
      <w:r>
        <w:rPr>
          <w:color w:val="000000"/>
        </w:rPr>
        <w:t xml:space="preserve">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Figure 5: LEKTI activity in Vehicle and ATR-12-Treated Skin Samples Following 24-hour Incubation</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stoichiometry work performed by Azitra indicates that KLK5 requires 2 molar equivalents on the rhLEKTI-D6 protein for inhibition (as measured by IC</w:t>
      </w:r>
      <w:r>
        <w:rPr>
          <w:rFonts w:ascii="Times New Roman;serif" w:hAnsi="Times New Roman;serif"/>
          <w:b w:val="false"/>
          <w:color w:val="000000"/>
          <w:sz w:val="13"/>
        </w:rPr>
        <w:t>50</w:t>
      </w:r>
      <w:r>
        <w:rPr>
          <w:rFonts w:ascii="Times New Roman;serif" w:hAnsi="Times New Roman;serif"/>
          <w:b w:val="false"/>
          <w:color w:val="000000"/>
          <w:sz w:val="20"/>
        </w:rPr>
        <w:t xml:space="preserve">). Historical studies have indicated that Netherton syndrome patients to show up to ~6 fold the amount of KLK5 that the amounts found in normal skin. This equates to 60 pmol of KLK5 per given area. The studies shown above indicate that SE351 delivered 350 pmol of rhLEKTI-D6 at 8 hours and it delivered 700 pmol of rhLEKTI-D6 at 24 hours. This represents a 5- to 11-fold amount above the predicted amount required for activity.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9745"/>
                <wp:effectExtent l="0" t="0" r="0" b="0"/>
                <wp:wrapNone/>
                <wp:docPr id="23" name="Frame16"/>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
        <w:jc w:val="left"/>
        <w:rPr/>
      </w:pPr>
      <w:r>
        <w:rPr/>
      </w:r>
    </w:p>
    <w:p>
      <w:pPr>
        <w:pStyle w:val="TextBody"/>
        <w:bidi w:val="0"/>
        <w:spacing w:before="0" w:after="240"/>
        <w:ind w:left="0" w:right="0" w:firstLine="720"/>
        <w:jc w:val="center"/>
        <w:rPr/>
      </w:pPr>
      <w:r>
        <w:rPr/>
        <w:drawing>
          <wp:inline distT="0" distB="0" distL="0" distR="0">
            <wp:extent cx="4381500" cy="360045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4381500" cy="3600450"/>
                    </a:xfrm>
                    <a:prstGeom prst="rect">
                      <a:avLst/>
                    </a:prstGeom>
                  </pic:spPr>
                </pic:pic>
              </a:graphicData>
            </a:graphic>
          </wp:inline>
        </w:drawing>
      </w:r>
      <w:bookmarkStart w:id="7" w:name="i-8"/>
      <w:bookmarkEnd w:id="7"/>
    </w:p>
    <w:p>
      <w:pPr>
        <w:pStyle w:val="TextBody"/>
        <w:bidi w:val="0"/>
        <w:spacing w:lineRule="auto" w:line="288" w:before="0" w:after="240"/>
        <w:jc w:val="both"/>
        <w:rPr/>
      </w:pPr>
      <w:r>
        <w:rPr>
          <w:rFonts w:ascii="Times New Roman;serif" w:hAnsi="Times New Roman;serif"/>
          <w:b/>
          <w:color w:val="000000"/>
          <w:sz w:val="20"/>
        </w:rPr>
        <w:t xml:space="preserve">Figure 6: </w:t>
      </w:r>
      <w:r>
        <w:rPr>
          <w:rFonts w:ascii="Times New Roman;serif" w:hAnsi="Times New Roman;serif"/>
          <w:b/>
          <w:i/>
          <w:color w:val="000000"/>
          <w:sz w:val="20"/>
        </w:rPr>
        <w:t>In vitro</w:t>
      </w:r>
      <w:r>
        <w:rPr>
          <w:color w:val="000000"/>
        </w:rPr>
        <w:t xml:space="preserve"> </w:t>
      </w:r>
      <w:r>
        <w:rPr>
          <w:rFonts w:ascii="Times New Roman;serif" w:hAnsi="Times New Roman;serif"/>
          <w:b/>
          <w:color w:val="000000"/>
          <w:sz w:val="20"/>
        </w:rPr>
        <w:t>stoichiometry of LEKTI-D6 to inhibit KLK5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2022, we obtained pre-IND correspondence with the FDA for purposes of discussing our proposed regulatory pathway for ATR-12 and obtaining guidance from the FDA on the preclinical plan leading to the filing and acceptance of an IND application for ATR-12. In December 2022, we filed an IND for a first-in-human trial of ATR-12 in Netherton syndrome patients. This is a Phase 1b multi-center, randomized, double-blind, single dose level, placebo-controlled clinical study of ATR-12 in patients with Netherton syndrome. The primary endpoint is safety, and secondary endpoints include signals of efficacy and pharmacokinetics. Exploratory endpoints include immune and inflammatory mechanism biomarkers. On January 27, 2023, we received notification from the FDA that the “study may proceed” for the proposed Phase 1b clinical trial. We dosed the first patient in August 2024 and reported initial clinical safety results in the first half of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ATR-04 for the Treatment of EGFRi-Associated Rash</w:t>
      </w:r>
    </w:p>
    <w:p>
      <w:pPr>
        <w:pStyle w:val="TextBody"/>
        <w:bidi w:val="0"/>
        <w:spacing w:lineRule="auto" w:line="268" w:before="0" w:after="240"/>
        <w:ind w:left="0" w:right="0" w:firstLine="720"/>
        <w:jc w:val="left"/>
        <w:rPr/>
      </w:pPr>
      <w:r>
        <w:rPr>
          <w:rFonts w:ascii="Times New Roman;serif" w:hAnsi="Times New Roman;serif"/>
          <w:b w:val="false"/>
          <w:color w:val="000000"/>
          <w:sz w:val="20"/>
        </w:rPr>
        <w:t xml:space="preserve">ATR-04-484 is our proprietary and patent-pending drug candidate that contains a novel strain of </w:t>
      </w:r>
      <w:r>
        <w:rPr>
          <w:rFonts w:ascii="Times New Roman;serif" w:hAnsi="Times New Roman;serif"/>
          <w:b w:val="false"/>
          <w:i/>
          <w:color w:val="000000"/>
          <w:sz w:val="20"/>
        </w:rPr>
        <w:t>S. epidermidis</w:t>
      </w:r>
      <w:r>
        <w:rPr>
          <w:rFonts w:ascii="Times New Roman;serif" w:hAnsi="Times New Roman;serif"/>
          <w:b w:val="false"/>
          <w:color w:val="000000"/>
          <w:sz w:val="20"/>
        </w:rPr>
        <w:t xml:space="preserve">, SE484, which has been genetically modified to be auxotrophic tor D-alanine and inhibits both </w:t>
      </w:r>
      <w:r>
        <w:rPr>
          <w:rFonts w:ascii="Times New Roman;serif" w:hAnsi="Times New Roman;serif"/>
          <w:b w:val="false"/>
          <w:i/>
          <w:color w:val="000000"/>
          <w:sz w:val="20"/>
        </w:rPr>
        <w:t>S.aureus</w:t>
      </w:r>
      <w:r>
        <w:rPr>
          <w:color w:val="000000"/>
        </w:rPr>
        <w:t xml:space="preserve"> </w:t>
      </w:r>
      <w:r>
        <w:rPr>
          <w:rFonts w:ascii="Times New Roman;serif" w:hAnsi="Times New Roman;serif"/>
          <w:b w:val="false"/>
          <w:color w:val="000000"/>
          <w:sz w:val="20"/>
        </w:rPr>
        <w:t>and IL-36γ</w:t>
      </w:r>
      <w:r>
        <w:rPr>
          <w:color w:val="000000"/>
        </w:rPr>
        <w:t xml:space="preserve"> </w:t>
      </w:r>
      <w:r>
        <w:rPr>
          <w:rFonts w:ascii="Times New Roman;serif" w:hAnsi="Times New Roman;serif"/>
          <w:b w:val="false"/>
          <w:i/>
          <w:color w:val="000000"/>
          <w:sz w:val="20"/>
        </w:rPr>
        <w:t>Interleukin-36 gamma</w:t>
      </w:r>
      <w:r>
        <w:rPr>
          <w:rFonts w:ascii="Times New Roman;serif" w:hAnsi="Times New Roman;serif"/>
          <w:b w:val="false"/>
          <w:color w:val="000000"/>
          <w:sz w:val="20"/>
        </w:rPr>
        <w:t xml:space="preserve">, or IL-36γ. ATR-04-484 is a topical application intended to address the papulopustular rash experienced by cancer patients undergoing epidermal growth factor receptor inhibitor, or EGFRi, targeted therapy. We believe this product candidate represents a potential $1 billion global sales opportunity by 2030.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EGFRi-Associated Rash Overview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Targeted cancer therapies have produced significant treatment advances for patients diagnosed with a variety of tumor types, but they are also associated with unique dermatologic toxicities that may hamper treatment efforts and cause significant physical and psychological discomfort for patients. Prevention and management of these toxicities may allow patients to tolerate treatments better, remain on therapy longer and thereby potentially receive maximum clinical benefit from the drug. One such class of targeted cancer therapy includes EGFR inhibitors. EGFR is a protein on the surface of cells that helps them grow and divide. It is also a key factor in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9745"/>
                <wp:effectExtent l="0" t="0" r="0" b="0"/>
                <wp:wrapNone/>
                <wp:docPr id="25" name="Frame17"/>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malignancies, and its activity enhances tumor growth, invasion, and metastasis. While systemic exposure to EGFRi agents suppresses EGFR at the target cancer site, it also suppresses EGFR throughout the body. In the skin, EGFR regulates multiple keratinocyte functions including proliferation, adhesion and migration, survival, and differentiation. Consequently, inhibition of EGFR in the skin results in adverse skin reactions, which make it difficult for patients to stay on these effective therapies.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Dermatologic toxicities are amongst the most prevalent side effects seen with EGFRi-targeted therapies. The papulopustular rash is the earliest and most common dermatologic adverse event of EGFRi treatment, often occurring in 50-80% of patients, depending on the drug, the cancer being treated, and the treatment regimen. The appearance of the papulopustular rash is a dose-dependent skin drug reaction, which usually develops in the first one to two weeks and peaks at three to four weeks on therapy. The intensity of the rash may start to decrease after two weeks but can persists over the entire course of EGFRi treatment. The rash is characterized clinically as tender erythematous papules, which after a few days evolve into pustules and then into crusts on the face, scalp, chest, and upper back. The rash is often accompanied by severe xerosis and at times serious cutaneous bacterial infection, primarily </w:t>
      </w:r>
      <w:r>
        <w:rPr>
          <w:rFonts w:ascii="Times New Roman;serif" w:hAnsi="Times New Roman;serif"/>
          <w:b w:val="false"/>
          <w:i/>
          <w:color w:val="000000"/>
          <w:sz w:val="20"/>
        </w:rPr>
        <w:t>S. aureus</w:t>
      </w:r>
      <w:r>
        <w:rPr>
          <w:rFonts w:ascii="Times New Roman;serif" w:hAnsi="Times New Roman;serif"/>
          <w:b w:val="false"/>
          <w:color w:val="000000"/>
          <w:sz w:val="20"/>
        </w:rPr>
        <w:t>. While most skin rash episodes are considered mild to moderate, some are severe. In many cases, the rash leads to severe quality of life issues and can even lead to the interruption or cessation of the EGFRi treatment</w:t>
      </w:r>
      <w:r>
        <w:rPr>
          <w:rFonts w:ascii="Times New Roman;serif" w:hAnsi="Times New Roman;serif"/>
          <w:b w:val="false"/>
          <w:i/>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current standard of care for rash treatment in patients undergoing EGFRi treatment varies depending on the rash severity. Typically, skin moisturizers, topical steroids and doxycycline are administered prophylactically from the start of EGFRi therapy and are continued throughout the entire treatment period. If the rash continues to advance, oral steroids and/or antibiotics are administered. However, there are known systemic adverse events associated with these adjunctive therapies, and we believe that physicians and patients try to limit their use. In addition, research indicates that oral antibiotics lead to a disruption in the gut microbiome, which in turn leads to a decrease in the effectiveness of targeted therapies, including EGFRi. Given the high incidence rate of rash that continues with these patients, as well as the concerns related to potential impacts of antibiotics on these therapies, we believe there is a clear unmet medical need for additional safe and effective adjunctive therapies for addressing papulopustular skin rash.</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Based on studies conducted by Satoh and Lichtenberger, IL-36γ and </w:t>
      </w:r>
      <w:r>
        <w:rPr>
          <w:rFonts w:ascii="Times New Roman;serif" w:hAnsi="Times New Roman;serif"/>
          <w:b w:val="false"/>
          <w:i/>
          <w:color w:val="000000"/>
          <w:sz w:val="20"/>
        </w:rPr>
        <w:t>S. aureus</w:t>
      </w:r>
      <w:r>
        <w:rPr>
          <w:color w:val="000000"/>
        </w:rPr>
        <w:t xml:space="preserve"> </w:t>
      </w:r>
      <w:r>
        <w:rPr>
          <w:rFonts w:ascii="Times New Roman;serif" w:hAnsi="Times New Roman;serif"/>
          <w:b w:val="false"/>
          <w:color w:val="000000"/>
          <w:sz w:val="20"/>
        </w:rPr>
        <w:t xml:space="preserve">are linked to and play a significant role in the rashes experienced by patients treated with EGFRis. IL-36γ and S. aureum are elevated in the skin of patients undergoing EGFRi therapy. In 2020, Satoh used gene expression profiling to identify IL-36γ as a candidate driver of EGFRi/MEKi skin toxicity. It is induced by EGFR inhibition and </w:t>
      </w:r>
      <w:r>
        <w:rPr>
          <w:rFonts w:ascii="Times New Roman;serif" w:hAnsi="Times New Roman;serif"/>
          <w:b w:val="false"/>
          <w:i/>
          <w:color w:val="000000"/>
          <w:sz w:val="20"/>
        </w:rPr>
        <w:t>Cutibacterium acnes</w:t>
      </w:r>
      <w:r>
        <w:rPr>
          <w:color w:val="000000"/>
        </w:rPr>
        <w:t xml:space="preserve"> </w:t>
      </w:r>
      <w:r>
        <w:rPr>
          <w:rFonts w:ascii="Times New Roman;serif" w:hAnsi="Times New Roman;serif"/>
          <w:b w:val="false"/>
          <w:color w:val="000000"/>
          <w:sz w:val="20"/>
        </w:rPr>
        <w:t xml:space="preserve">that synergistically induce IL-36γ in the skin and subsequently IL-8 and NF-κB, which leads to cutaneous neutrophilia. IL-36γ could be a key therapeutic target in treating EGFRi-induced rashes. In 2013, Lichtenberger noted high rates (70%) of bacterial infection in patients (n=107) on EGFRi and proposed a mechanism of EGFR ablation leading to </w:t>
      </w:r>
      <w:r>
        <w:rPr>
          <w:rFonts w:ascii="Times New Roman;serif" w:hAnsi="Times New Roman;serif"/>
          <w:b w:val="false"/>
          <w:i/>
          <w:color w:val="000000"/>
          <w:sz w:val="20"/>
        </w:rPr>
        <w:t>S. aureus-</w:t>
      </w:r>
      <w:r>
        <w:rPr>
          <w:rFonts w:ascii="Times New Roman;serif" w:hAnsi="Times New Roman;serif"/>
          <w:b w:val="false"/>
          <w:color w:val="000000"/>
          <w:sz w:val="20"/>
        </w:rPr>
        <w:t xml:space="preserve">induced infection in mice. The study noted a majority of the patients were positive with </w:t>
      </w:r>
      <w:r>
        <w:rPr>
          <w:rFonts w:ascii="Times New Roman;serif" w:hAnsi="Times New Roman;serif"/>
          <w:b w:val="false"/>
          <w:i/>
          <w:color w:val="000000"/>
          <w:sz w:val="20"/>
        </w:rPr>
        <w:t xml:space="preserve">S. aureus </w:t>
      </w:r>
      <w:r>
        <w:rPr>
          <w:rFonts w:ascii="Times New Roman;serif" w:hAnsi="Times New Roman;serif"/>
          <w:b w:val="false"/>
          <w:color w:val="000000"/>
          <w:sz w:val="20"/>
        </w:rPr>
        <w:t xml:space="preserve">(54%). Mechanistically, the authors noted that EGFRi therapy impairs host defense: impaired expression of antimicrobial peptides, especially against </w:t>
      </w:r>
      <w:r>
        <w:rPr>
          <w:rFonts w:ascii="Times New Roman;serif" w:hAnsi="Times New Roman;serif"/>
          <w:b w:val="false"/>
          <w:i/>
          <w:color w:val="000000"/>
          <w:sz w:val="20"/>
        </w:rPr>
        <w:t>S. aureus</w:t>
      </w:r>
      <w:r>
        <w:rPr>
          <w:rFonts w:ascii="Times New Roman;serif" w:hAnsi="Times New Roman;serif"/>
          <w:b w:val="false"/>
          <w:color w:val="000000"/>
          <w:sz w:val="20"/>
        </w:rPr>
        <w:t>; and lowered expression of tight junctions. Also, the study revealed EGFR ablation leads to skin barrier defects as well as impaired cutaneous immune response and cytokine expression.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Our solution – ATR-04 for the treatment of EGFRi-associated rash</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ATR-04-484 is our formulated, drug product candidate for the treatment of EGFRi associated rash. It includes a strain of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that was selected from our microbial strain library, based on desired properties of IL-36γ reduction and inhibition of </w:t>
      </w:r>
      <w:r>
        <w:rPr>
          <w:rFonts w:ascii="Times New Roman;serif" w:hAnsi="Times New Roman;serif"/>
          <w:b w:val="false"/>
          <w:i/>
          <w:color w:val="000000"/>
          <w:sz w:val="20"/>
        </w:rPr>
        <w:t>S. aureus</w:t>
      </w:r>
      <w:r>
        <w:rPr>
          <w:color w:val="000000"/>
        </w:rPr>
        <w:t xml:space="preserve"> </w:t>
      </w:r>
      <w:r>
        <w:rPr>
          <w:rFonts w:ascii="Times New Roman;serif" w:hAnsi="Times New Roman;serif"/>
          <w:b w:val="false"/>
          <w:color w:val="000000"/>
          <w:sz w:val="20"/>
        </w:rPr>
        <w:t>and its biofilms. The current lead strain is called SE484. We then genetically engineered SE484 to be auxotrophic tor D-alanine and to create our drug product candidate, ATR-04.</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SE484 was chosen from our microbial library based on key characteristics such as inhibition of IL-36γ as well as its effect against </w:t>
      </w:r>
      <w:r>
        <w:rPr>
          <w:rFonts w:ascii="Times New Roman;serif" w:hAnsi="Times New Roman;serif"/>
          <w:b w:val="false"/>
          <w:i/>
          <w:color w:val="000000"/>
          <w:sz w:val="20"/>
        </w:rPr>
        <w:t>S. aureus</w:t>
      </w:r>
      <w:r>
        <w:rPr>
          <w:rFonts w:ascii="Times New Roman;serif" w:hAnsi="Times New Roman;serif"/>
          <w:b w:val="false"/>
          <w:color w:val="000000"/>
          <w:sz w:val="20"/>
        </w:rPr>
        <w:t>. Together, we expect these mechanisms of action to lead to significant reductions in rash severity among patients undergoing EGFRi therapy.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9745"/>
                <wp:effectExtent l="0" t="0" r="0" b="0"/>
                <wp:wrapNone/>
                <wp:docPr id="26" name="Frame18"/>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ATR-04 has the potential to address current limitations to treatment of EGFRi-associated rash:</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 xml:space="preserve">Reduced antibiotic use. </w:t>
      </w:r>
      <w:r>
        <w:rPr>
          <w:rFonts w:ascii="Times New Roman;serif" w:hAnsi="Times New Roman;serif"/>
          <w:b w:val="false"/>
          <w:color w:val="000000"/>
          <w:sz w:val="20"/>
        </w:rPr>
        <w:t>From our surveys of clinicians and key opinion leaders, practitioners are reluctant to prescribe systemic antibiotics to patients undergoing EGFRi therapy. These patients can often be prescribed antibiotics for more than 12 months and suffer from antibiotic-related adverse events. We believe ATR-04 would reduce the need for antibiotics in these patients and lead to fewer adverse events due to EGFRi and antibiotic use.</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 xml:space="preserve">Better EGFRi compliance. </w:t>
      </w:r>
      <w:r>
        <w:rPr>
          <w:rFonts w:ascii="Times New Roman;serif" w:hAnsi="Times New Roman;serif"/>
          <w:b w:val="false"/>
          <w:color w:val="000000"/>
          <w:sz w:val="20"/>
        </w:rPr>
        <w:t>Up to 20% of patients undergoing EGFRi therapy discontinue due to adverse events, primarily due to rashes. We believe we can reduce discontinuation rate in patients undergoing EGFRi therapy and thus increase compliance.</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Higher quality of life. </w:t>
      </w:r>
      <w:r>
        <w:rPr>
          <w:rFonts w:ascii="Times New Roman;serif" w:hAnsi="Times New Roman;serif"/>
          <w:b w:val="false"/>
          <w:color w:val="000000"/>
          <w:sz w:val="20"/>
        </w:rPr>
        <w:t>Many patients on EGFRi therapy report a poor quality of life due to adverse events and papulopustular rashes. Current treatment options fail to adequately reduce these adverse events. We believe ATR-04 therapy in patients undergoing EGFRi therapy will have reduced rash severity and thus a higher quality of life.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Preclinical data of ATR-04</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EGFRi-associated rash is a condition that is characterized by redness, itchiness, and irritation of the skin, and is induced by certain cancer treatments. It was shown, by gene expression profiling (Satoh et al 2020), that skin biopsy samples from patients suffering from EGFRi-associated rash had elevated levels of cytokines IL-36γ and IL-8 compared to skin from healthy donors. These are proinflammatory cytokines that are signaling molecules of the immune system that increase the intensity of an immune response and can cause tissue damage. In addition to elevated cytokine levels, EGFRi-treated patients have impaired skin barrier function. Infection with pathogenic strains of </w:t>
      </w:r>
      <w:r>
        <w:rPr>
          <w:rFonts w:ascii="Times New Roman;serif" w:hAnsi="Times New Roman;serif"/>
          <w:b w:val="false"/>
          <w:i/>
          <w:color w:val="000000"/>
          <w:sz w:val="20"/>
        </w:rPr>
        <w:t>S. aureus</w:t>
      </w:r>
      <w:r>
        <w:rPr>
          <w:color w:val="000000"/>
        </w:rPr>
        <w:t xml:space="preserve"> </w:t>
      </w:r>
      <w:r>
        <w:rPr>
          <w:rFonts w:ascii="Times New Roman;serif" w:hAnsi="Times New Roman;serif"/>
          <w:b w:val="false"/>
          <w:color w:val="000000"/>
          <w:sz w:val="20"/>
        </w:rPr>
        <w:t>exacerbates the EGFRi-induced cutaneous disease.</w:t>
      </w:r>
    </w:p>
    <w:p>
      <w:pPr>
        <w:pStyle w:val="TextBody"/>
        <w:bidi w:val="0"/>
        <w:spacing w:lineRule="auto" w:line="288" w:before="0" w:after="240"/>
        <w:ind w:left="0" w:right="0" w:firstLine="720"/>
        <w:jc w:val="both"/>
        <w:rPr/>
      </w:pPr>
      <w:r>
        <w:rPr>
          <w:rFonts w:ascii="Times New Roman;serif" w:hAnsi="Times New Roman;serif"/>
          <w:b w:val="false"/>
          <w:color w:val="000000"/>
          <w:sz w:val="20"/>
        </w:rPr>
        <w:t>Our work was focused on identifying an</w:t>
      </w:r>
      <w:r>
        <w:rPr>
          <w:color w:val="000000"/>
        </w:rPr>
        <w:t xml:space="preserve">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strain that reduces IL-36γ levels and thus reduces the rash associated with EGFRi. We believed that many species of bacteria that live on human skin probably survive there because they have evolved ways to reduce the human immune system’s response to their presence, and we might be able to identify a resident human skin commensal bacteria that survives thereby specifically reducing IL-36γ activity.</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To identify such a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 xml:space="preserve">strain, we developed an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assay to measure the levels of IL-36γ and IL-8 that are produced by human skin cells that are grown in culture. The cell line we used is called HaCaT and is derived from human keratinocytes, which are a cell type in the epidermis. In order to simulate the inflammatory phenotype of EGFRi-related disease of the skin, HaCaT cells were stimulated with an immunostimulant, polyinosinic:polycytidylic acid, or poly I:C, which causes them to secrete elevated levels of IL-36γ and IL-8. This assay was used to identify and evaluate the ability of different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strains to lower IL-36γ and IL-8 levels.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We screened over 100 strains based on safety (e.g., lack of antibiotic resistance) and biological activity (IL-36γ inhibition and activity against </w:t>
      </w:r>
      <w:r>
        <w:rPr>
          <w:rFonts w:ascii="Times New Roman;serif" w:hAnsi="Times New Roman;serif"/>
          <w:b w:val="false"/>
          <w:i/>
          <w:color w:val="000000"/>
          <w:sz w:val="20"/>
        </w:rPr>
        <w:t>S. aureus</w:t>
      </w:r>
      <w:r>
        <w:rPr>
          <w:rFonts w:ascii="Times New Roman;serif" w:hAnsi="Times New Roman;serif"/>
          <w:b w:val="false"/>
          <w:color w:val="000000"/>
          <w:sz w:val="20"/>
        </w:rPr>
        <w:t>) and designated SE484 as our lead candidate strain. After engineering this strain to be auxotrophic for D-alanine, so that it will grow only if provided with D-alanine, we also eliminated an anti-biotic resistance gene. Then, we nominated this candidate for use as the active microbe in the ATR-04-484 drug product formulation.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To test the ability of SE484 to reduce IL-36γ on a skin-like model, erlotinib was used to induce IL-36γ secretion on reconstructed human epidermis, or RHE. Simultaneous application of SE484 with erlotinib reduced IL-36γ to a level comparable RHE that had not been treated with erlotinib, showing that SE484 acts on a skin-like model to reduce this pro-inflammatory cytokine. Figure 7 shows the results of two experiments to measure IL-36γ reduction by SE484. In Figure 7A, a cell-free supernatant (CFS) from a culture of SE484 was applied to RHE, while in Figure 7B live cells of SE484 (either 1x10</w:t>
      </w: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CFU or 1x10</w:t>
      </w: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CFU) were applied to RHE to measure the ability of SE484 to reduce IL-36γ. In both cases, cell-free supernatant or SE484 cells, erlotinib-induced IL-36γ levels were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9745"/>
                <wp:effectExtent l="0" t="0" r="0" b="0"/>
                <wp:wrapNone/>
                <wp:docPr id="27" name="Frame19"/>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40"/>
        <w:jc w:val="center"/>
        <w:rPr/>
      </w:pPr>
      <w:r>
        <w:rPr/>
        <w:drawing>
          <wp:inline distT="0" distB="0" distL="0" distR="0">
            <wp:extent cx="5981700" cy="2752725"/>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5981700" cy="2752725"/>
                    </a:xfrm>
                    <a:prstGeom prst="rect">
                      <a:avLst/>
                    </a:prstGeom>
                  </pic:spPr>
                </pic:pic>
              </a:graphicData>
            </a:graphic>
          </wp:inline>
        </w:drawing>
      </w:r>
      <w:bookmarkStart w:id="8" w:name="i-9"/>
      <w:bookmarkEnd w:id="8"/>
    </w:p>
    <w:p>
      <w:pPr>
        <w:pStyle w:val="TextBody"/>
        <w:bidi w:val="0"/>
        <w:spacing w:lineRule="auto" w:line="288" w:before="0" w:after="240"/>
        <w:jc w:val="both"/>
        <w:rPr/>
      </w:pPr>
      <w:r>
        <w:rPr>
          <w:rFonts w:ascii="Times New Roman;serif" w:hAnsi="Times New Roman;serif"/>
          <w:b/>
          <w:color w:val="000000"/>
          <w:sz w:val="20"/>
        </w:rPr>
        <w:t>Figure 7. The anti-IL-36g activity of SE484 on RHE</w:t>
      </w:r>
      <w:r>
        <w:rPr>
          <w:rFonts w:ascii="Times New Roman;serif" w:hAnsi="Times New Roman;serif"/>
          <w:b w:val="false"/>
          <w:color w:val="000000"/>
          <w:sz w:val="20"/>
        </w:rPr>
        <w:t>. Reconstructed human epidermis, or RHE, was treated for 72 hours with 1 mM erlotinib alone or with cell-free supernatant (CFS) from SE484 culture (A), or with approximately 10</w:t>
      </w: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or 10</w:t>
      </w: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CFU of SE484 (B). RHE feeding media was then assayed by ELISA for IL-36γ levels.</w:t>
      </w:r>
    </w:p>
    <w:p>
      <w:pPr>
        <w:pStyle w:val="TextBody"/>
        <w:bidi w:val="0"/>
        <w:spacing w:before="0" w:after="240"/>
        <w:jc w:val="center"/>
        <w:rPr/>
      </w:pPr>
      <w:r>
        <w:rPr/>
        <w:drawing>
          <wp:inline distT="0" distB="0" distL="0" distR="0">
            <wp:extent cx="3486150" cy="32385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3486150" cy="3238500"/>
                    </a:xfrm>
                    <a:prstGeom prst="rect">
                      <a:avLst/>
                    </a:prstGeom>
                  </pic:spPr>
                </pic:pic>
              </a:graphicData>
            </a:graphic>
          </wp:inline>
        </w:drawing>
      </w:r>
      <w:bookmarkStart w:id="9" w:name="i-10"/>
      <w:bookmarkEnd w:id="9"/>
    </w:p>
    <w:p>
      <w:pPr>
        <w:pStyle w:val="TextBody"/>
        <w:bidi w:val="0"/>
        <w:spacing w:lineRule="auto" w:line="288" w:before="0" w:after="240"/>
        <w:jc w:val="both"/>
        <w:rPr/>
      </w:pPr>
      <w:r>
        <w:rPr>
          <w:rFonts w:ascii="Times New Roman;serif" w:hAnsi="Times New Roman;serif"/>
          <w:b/>
          <w:color w:val="000000"/>
          <w:sz w:val="20"/>
        </w:rPr>
        <w:t>Figure 8. IL-8 induction by Poly I:C is Reduced by CS of SE484</w:t>
      </w:r>
      <w:r>
        <w:rPr>
          <w:rFonts w:ascii="Times New Roman;serif" w:hAnsi="Times New Roman;serif"/>
          <w:b w:val="false"/>
          <w:color w:val="000000"/>
          <w:sz w:val="20"/>
        </w:rPr>
        <w:t>. The presence of culture medium from SE484 prevents the stimulation and release of IL-8 by poly I:C (red arrow). An inhibitor of poly I:C is used as control (blue arrow). Data are representative of two independent experiments. CFS = cell free supernatant.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Figure 8 shows the inhibitory effect of SE484 culture supernatant on the induction of IL-8 by poly I:C. Similar to IL-36γ, when poly I:C is added to HaCaT cells, IL-8 is also secreted, several fold above background (as seen in untreated HaCaT and SE484-treated HaCaT). However, in the presence of SE484, lower levels of IL-8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9745"/>
                <wp:effectExtent l="0" t="0" r="0" b="0"/>
                <wp:wrapNone/>
                <wp:docPr id="30" name="Frame20"/>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detected, thus further demonstrating the efficacy of SE484 to inhibiting the proinflammatory pathway involved in EGFRi-related rash.</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Our results show that culture media of </w:t>
      </w:r>
      <w:r>
        <w:rPr>
          <w:rFonts w:ascii="Times New Roman;serif" w:hAnsi="Times New Roman;serif"/>
          <w:b w:val="false"/>
          <w:i/>
          <w:color w:val="000000"/>
          <w:sz w:val="20"/>
        </w:rPr>
        <w:t>S. epidermidis strain</w:t>
      </w:r>
      <w:r>
        <w:rPr>
          <w:color w:val="000000"/>
        </w:rPr>
        <w:t xml:space="preserve"> </w:t>
      </w:r>
      <w:r>
        <w:rPr>
          <w:rFonts w:ascii="Times New Roman;serif" w:hAnsi="Times New Roman;serif"/>
          <w:b w:val="false"/>
          <w:color w:val="000000"/>
          <w:sz w:val="20"/>
        </w:rPr>
        <w:t xml:space="preserve">SE484, which was isolated from a healthy human volunteer, can reduce the level of IL-36γ and IL-8 produced by HaCaT cells (Figure 7 and Figure 8, respectively) and thus help in the treatment of EGFRi-associated rash. In addition to its anti-IL-36γ property, SE484 also has broad activity against different methicillin-resistant </w:t>
      </w:r>
      <w:r>
        <w:rPr>
          <w:rFonts w:ascii="Times New Roman;serif" w:hAnsi="Times New Roman;serif"/>
          <w:b w:val="false"/>
          <w:i/>
          <w:color w:val="000000"/>
          <w:sz w:val="20"/>
        </w:rPr>
        <w:t>S. aureus</w:t>
      </w:r>
      <w:r>
        <w:rPr>
          <w:rFonts w:ascii="Times New Roman;serif" w:hAnsi="Times New Roman;serif"/>
          <w:b w:val="false"/>
          <w:color w:val="000000"/>
          <w:sz w:val="20"/>
        </w:rPr>
        <w:t xml:space="preserve">, or MRSA, strain types as well as methicillin sensitive </w:t>
      </w:r>
      <w:r>
        <w:rPr>
          <w:rFonts w:ascii="Times New Roman;serif" w:hAnsi="Times New Roman;serif"/>
          <w:b w:val="false"/>
          <w:i/>
          <w:color w:val="000000"/>
          <w:sz w:val="20"/>
        </w:rPr>
        <w:t>S. aureus</w:t>
      </w:r>
      <w:r>
        <w:rPr>
          <w:rFonts w:ascii="Times New Roman;serif" w:hAnsi="Times New Roman;serif"/>
          <w:b w:val="false"/>
          <w:color w:val="000000"/>
          <w:sz w:val="20"/>
        </w:rPr>
        <w:t xml:space="preserve">, or MSSA. The ability of SE484 to reduce IL-36γ/IL-8 levels as well as its activity against </w:t>
      </w:r>
      <w:r>
        <w:rPr>
          <w:rFonts w:ascii="Times New Roman;serif" w:hAnsi="Times New Roman;serif"/>
          <w:b w:val="false"/>
          <w:i/>
          <w:color w:val="000000"/>
          <w:sz w:val="20"/>
        </w:rPr>
        <w:t>S. aureus</w:t>
      </w:r>
      <w:r>
        <w:rPr>
          <w:color w:val="000000"/>
        </w:rPr>
        <w:t xml:space="preserve"> </w:t>
      </w:r>
      <w:r>
        <w:rPr>
          <w:rFonts w:ascii="Times New Roman;serif" w:hAnsi="Times New Roman;serif"/>
          <w:b w:val="false"/>
          <w:color w:val="000000"/>
          <w:sz w:val="20"/>
        </w:rPr>
        <w:t>and the engineered D-alanine auxotrophy enabled us to nominate strain SE484 for use as the active microbe in the ATR-04-484 drug product formulation to form the basis of a treatment and reduce the severity of EGFRi rash.</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We have also shown that SE484 leads to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inhibition of known virulent strains USA300, which is resistant to methicillin, and MSSA, which is sensitive to methicillin. The following data show that ATR-04 reduces the ability of the pathogenic </w:t>
      </w:r>
      <w:r>
        <w:rPr>
          <w:rFonts w:ascii="Times New Roman;serif" w:hAnsi="Times New Roman;serif"/>
          <w:b w:val="false"/>
          <w:i/>
          <w:color w:val="000000"/>
          <w:sz w:val="20"/>
        </w:rPr>
        <w:t>S. aureus</w:t>
      </w:r>
      <w:r>
        <w:rPr>
          <w:color w:val="000000"/>
        </w:rPr>
        <w:t xml:space="preserve"> </w:t>
      </w:r>
      <w:r>
        <w:rPr>
          <w:rFonts w:ascii="Times New Roman;serif" w:hAnsi="Times New Roman;serif"/>
          <w:b w:val="false"/>
          <w:color w:val="000000"/>
          <w:sz w:val="20"/>
        </w:rPr>
        <w:t>bacterial species to grow and instigate infections that are seen in patients with EGFRi rash.</w:t>
      </w:r>
    </w:p>
    <w:p>
      <w:pPr>
        <w:pStyle w:val="TextBody"/>
        <w:bidi w:val="0"/>
        <w:spacing w:before="0" w:after="240"/>
        <w:ind w:left="0" w:right="0" w:firstLine="720"/>
        <w:jc w:val="center"/>
        <w:rPr/>
      </w:pPr>
      <w:r>
        <w:rPr/>
        <w:drawing>
          <wp:inline distT="0" distB="0" distL="0" distR="0">
            <wp:extent cx="5829300" cy="234315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5829300" cy="2343150"/>
                    </a:xfrm>
                    <a:prstGeom prst="rect">
                      <a:avLst/>
                    </a:prstGeom>
                  </pic:spPr>
                </pic:pic>
              </a:graphicData>
            </a:graphic>
          </wp:inline>
        </w:drawing>
      </w:r>
      <w:bookmarkStart w:id="10" w:name="i-11"/>
      <w:bookmarkEnd w:id="10"/>
    </w:p>
    <w:p>
      <w:pPr>
        <w:pStyle w:val="TextBody"/>
        <w:bidi w:val="0"/>
        <w:spacing w:lineRule="auto" w:line="288" w:before="0" w:after="240"/>
        <w:jc w:val="both"/>
        <w:rPr/>
      </w:pPr>
      <w:r>
        <w:rPr>
          <w:rFonts w:ascii="Times New Roman;serif" w:hAnsi="Times New Roman;serif"/>
          <w:b/>
          <w:color w:val="000000"/>
          <w:sz w:val="20"/>
        </w:rPr>
        <w:t xml:space="preserve">Figure 9. Epidermin-expressing SE484 kills </w:t>
      </w:r>
      <w:r>
        <w:rPr>
          <w:rFonts w:ascii="Times New Roman;serif" w:hAnsi="Times New Roman;serif"/>
          <w:b/>
          <w:i/>
          <w:color w:val="000000"/>
          <w:sz w:val="20"/>
        </w:rPr>
        <w:t>S. aureus</w:t>
      </w:r>
      <w:r>
        <w:rPr>
          <w:color w:val="000000"/>
        </w:rPr>
        <w:t xml:space="preserve"> </w:t>
      </w:r>
      <w:r>
        <w:rPr>
          <w:rFonts w:ascii="Times New Roman;serif" w:hAnsi="Times New Roman;serif"/>
          <w:b/>
          <w:color w:val="000000"/>
          <w:sz w:val="20"/>
        </w:rPr>
        <w:t>with similar activity as mupirocin on in vitro agar plates.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ATR-04-484 is currently being evaluated in a Phase 1/2 multi-center, randomized, double-blind, single-dose, placebo-controlled trial in patients with colorectal or head and neck cancer who are initiating EGFRi therapies and have EGFRi-associated rash. The primary endpoint is safety, and secondary endpoints will include efficacy and Quality of Life, or QoL. We received IND clearance for ATR-04 in August 2024 and dosed the first patient in the Phase 1/2 clinical trial in the third quarter of 2025.</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ATR-01 for the treatment of ichthyosis vulgaris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ATR-01 is our drug program intended to treat ichthyosis vulgaris consisting of product candidate name ATR-01-616. The program is currently investigating a proprietary and patent-pending novel engineering segment of human filaggrin protein. ATR-01 is being developed as a topical application intended to address ichthyosis vulgaris, a chronic scaly skin disease with an estimated incidence and prevalence of 1 in 250, which gives a total patient population of 1.3 million in the United States. Ichthyosis vulgaris is caused by loss-of-function mutations in the gene encoding filaggrin Using synthetic biology tools for protein engineering, we attached a cell penetrating peptide to filaggrin, which helps facilitate deeper skin delivery for filaggrin. This is designed to overcome the impenetrability of the skin barrier, which would otherwise limit topical protein delivery.</w:t>
      </w:r>
    </w:p>
    <w:p>
      <w:pPr>
        <w:pStyle w:val="TextBody"/>
        <w:bidi w:val="0"/>
        <w:spacing w:before="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9745"/>
                <wp:effectExtent l="0" t="0" r="0" b="0"/>
                <wp:wrapNone/>
                <wp:docPr id="32" name="Frame21"/>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Ichthyosis vulgaris overview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Ichthyosis vulgaris, or IV, is a chronic, xerotic, scaly skin disease with an estimated incidence and prevalence of 1 in 250, which gives a total patient population of 1.3 million in the United States. Clinical features of IV usually appear at around 2 months of age and include generalized xerosis and fine, white to gray scales that are prominent on the abdomen, chest, and extensor surfaces of the extremities. Although rare, some IV patients also experience hypohidrosis and heat intolerance. The pathogenesis of IV has long been identified as a decrease in the size or number, or even a complete absence of, epidermal keratohyaline granules. In addition, patients with IV are at increased risk for atopic dermatitis, asthma and allergies.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Ichthyosis vulgaris is an autosomal semidominant disease caused by loss-of-function mutations in the gene encoding filaggrin. Filaggrin is an essential structural protein that is derived from profilaggrin, which breaks down into individual filaggrin units in the stratum corneum. These reinforce the skin barrier by binding to keratins and other intermediate filament proteins in the keratinocyte cytoskeleton. Many studies have identified loss-of-function mutations in </w:t>
      </w:r>
      <w:r>
        <w:rPr>
          <w:rFonts w:ascii="Times New Roman;serif" w:hAnsi="Times New Roman;serif"/>
          <w:b w:val="false"/>
          <w:i/>
          <w:color w:val="000000"/>
          <w:sz w:val="20"/>
        </w:rPr>
        <w:t xml:space="preserve">FLG </w:t>
      </w:r>
      <w:r>
        <w:rPr>
          <w:rFonts w:ascii="Times New Roman;serif" w:hAnsi="Times New Roman;serif"/>
          <w:b w:val="false"/>
          <w:color w:val="000000"/>
          <w:sz w:val="20"/>
        </w:rPr>
        <w:t xml:space="preserve">in IV patients, and these mutations are associated with disorganized keratin filaments, skin barrier defects and microfractures in the stratum corneum leading to enhanced percutaneous allergen sensitization. Moreover, filaggrin and its breakdown products have significant additional functions in the skin including moisturizing the skin (via hygroscopic amino acids or “natural moisturizing factors”), effecting production of antimicrobial molecules (particularly against </w:t>
      </w:r>
      <w:r>
        <w:rPr>
          <w:rFonts w:ascii="Times New Roman;serif" w:hAnsi="Times New Roman;serif"/>
          <w:b w:val="false"/>
          <w:i/>
          <w:color w:val="000000"/>
          <w:sz w:val="20"/>
        </w:rPr>
        <w:t>S. aureus</w:t>
      </w:r>
      <w:r>
        <w:rPr>
          <w:rFonts w:ascii="Times New Roman;serif" w:hAnsi="Times New Roman;serif"/>
          <w:b w:val="false"/>
          <w:color w:val="000000"/>
          <w:sz w:val="20"/>
        </w:rPr>
        <w:t>) and maintaining both a beneficial lipid profile and pH in the skin.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few effective therapies for the treatment of IV. Current treatment options for IV include primarily topical water evaporation suppressants (e.g., sodium chloride, urea, lactic acid, salicylic acid), and, to a lesser extent, moisturizers (e.g., glycerol, propylene glycol,). Topical retinoids may also be prescribed in an effort to slow the body’s production of skin cells. However, long-term retinoid use is not ideal. Of particular concern is the teratogenic effect of all retinoids, which limits their use in women of child-bearing potential. Chronic toxicities from long term therapy with retinoids may result in skeletal abnormalities. Furthermore, the chronic use of retinoids in children may inhibit their growth. Notably, many patients with IV experience a significantly reduced quality of life, due to self-consciousness and social embarrassment, and see a negative impact on domestic life, educational/professional lives and even leisure/sports activities.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Our solution – ATR-01 for the treatment of ichthyosis vulgaris</w:t>
      </w:r>
    </w:p>
    <w:p>
      <w:pPr>
        <w:pStyle w:val="TextBody"/>
        <w:bidi w:val="0"/>
        <w:spacing w:lineRule="auto" w:line="268" w:before="0" w:after="240"/>
        <w:ind w:left="0" w:right="0" w:firstLine="720"/>
        <w:jc w:val="left"/>
        <w:rPr/>
      </w:pPr>
      <w:r>
        <w:rPr>
          <w:rFonts w:ascii="Times New Roman;serif" w:hAnsi="Times New Roman;serif"/>
          <w:b w:val="false"/>
          <w:color w:val="000000"/>
          <w:sz w:val="20"/>
        </w:rPr>
        <w:t xml:space="preserve">It is now known that IV is caused by loss-of-function mutations in the gene encoding filaggrin, leading to disorganized keratin filaments, skin barrier defects and microfractures in the stratum corneum, and resulting in enhanced percutaneous allergen sensitization as well as bacterial and viral skin infection. We are developing ATR-01-616 as a novel treatment modality for IV that directly addresses the disease pathophysiology. ATR01-616 is a topical formulation containing a live recombinant biotherapeutic product candidate for the treatment of IV consisting of a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strain referred to as SE616. SE616 (the active substance in ATR01-616) has been genetically modified to be a D-alanine auxotroph and to secrete an active subunit of recombinant human filaggrin The goal is to supplement the skin with stable delivery of hFLG via topical application and deeper skin penetration with a cell penetrating peptide.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Preclinical data for ATR-01</w:t>
      </w:r>
    </w:p>
    <w:p>
      <w:pPr>
        <w:pStyle w:val="TextBody"/>
        <w:bidi w:val="0"/>
        <w:spacing w:lineRule="auto" w:line="288" w:before="0" w:after="160"/>
        <w:ind w:left="0" w:right="0" w:firstLine="720"/>
        <w:jc w:val="both"/>
        <w:rPr/>
      </w:pPr>
      <w:r>
        <w:rPr>
          <w:rFonts w:ascii="Times New Roman;serif" w:hAnsi="Times New Roman;serif"/>
          <w:b w:val="false"/>
          <w:color w:val="000000"/>
          <w:sz w:val="20"/>
        </w:rPr>
        <w:t xml:space="preserve">ATR01-6161 was characterized </w:t>
      </w:r>
      <w:r>
        <w:rPr>
          <w:rFonts w:ascii="Times New Roman;serif" w:hAnsi="Times New Roman;serif"/>
          <w:b w:val="false"/>
          <w:i/>
          <w:color w:val="000000"/>
          <w:sz w:val="20"/>
        </w:rPr>
        <w:t xml:space="preserve">in vitro </w:t>
      </w:r>
      <w:r>
        <w:rPr>
          <w:rFonts w:ascii="Times New Roman;serif" w:hAnsi="Times New Roman;serif"/>
          <w:b w:val="false"/>
          <w:color w:val="000000"/>
          <w:sz w:val="20"/>
        </w:rPr>
        <w:t xml:space="preserve">for protein production, and its functionality was demonstrated using an </w:t>
      </w:r>
      <w:r>
        <w:rPr>
          <w:rFonts w:ascii="Times New Roman;serif" w:hAnsi="Times New Roman;serif"/>
          <w:b w:val="false"/>
          <w:i/>
          <w:color w:val="000000"/>
          <w:sz w:val="20"/>
        </w:rPr>
        <w:t>ex vivo</w:t>
      </w:r>
      <w:r>
        <w:rPr>
          <w:color w:val="000000"/>
        </w:rPr>
        <w:t xml:space="preserve"> </w:t>
      </w:r>
      <w:r>
        <w:rPr>
          <w:rFonts w:ascii="Times New Roman;serif" w:hAnsi="Times New Roman;serif"/>
          <w:b w:val="false"/>
          <w:color w:val="000000"/>
          <w:sz w:val="20"/>
        </w:rPr>
        <w:t xml:space="preserve">pig skin model where transepidermal water loss, or TEWL, was increased by heat damage. The damaged skin was treated with vehicle (+ negative control, a non-engineered strain of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lacking rhFLG expression) or ATR01-616 at three dose levels: 5x10</w:t>
      </w:r>
      <w:r>
        <w:rPr>
          <w:rFonts w:ascii="Times New Roman;serif" w:hAnsi="Times New Roman;serif"/>
          <w:b w:val="false"/>
          <w:color w:val="000000"/>
          <w:sz w:val="13"/>
        </w:rPr>
        <w:t xml:space="preserve">8 </w:t>
      </w:r>
      <w:r>
        <w:rPr>
          <w:rFonts w:ascii="Times New Roman;serif" w:hAnsi="Times New Roman;serif"/>
          <w:b w:val="false"/>
          <w:color w:val="000000"/>
          <w:sz w:val="20"/>
        </w:rPr>
        <w:t>CFU/g, 5x10</w:t>
      </w:r>
      <w:r>
        <w:rPr>
          <w:rFonts w:ascii="Times New Roman;serif" w:hAnsi="Times New Roman;serif"/>
          <w:b w:val="false"/>
          <w:color w:val="000000"/>
          <w:sz w:val="13"/>
        </w:rPr>
        <w:t xml:space="preserve">9 </w:t>
      </w:r>
      <w:r>
        <w:rPr>
          <w:rFonts w:ascii="Times New Roman;serif" w:hAnsi="Times New Roman;serif"/>
          <w:b w:val="false"/>
          <w:color w:val="000000"/>
          <w:sz w:val="20"/>
        </w:rPr>
        <w:t>CFU/g, and 5x10</w:t>
      </w:r>
      <w:r>
        <w:rPr>
          <w:rFonts w:ascii="Times New Roman;serif" w:hAnsi="Times New Roman;serif"/>
          <w:b w:val="false"/>
          <w:color w:val="000000"/>
          <w:sz w:val="13"/>
        </w:rPr>
        <w:t xml:space="preserve">10 </w:t>
      </w:r>
      <w:r>
        <w:rPr>
          <w:rFonts w:ascii="Times New Roman;serif" w:hAnsi="Times New Roman;serif"/>
          <w:b w:val="false"/>
          <w:color w:val="000000"/>
          <w:sz w:val="20"/>
        </w:rPr>
        <w:t xml:space="preserve">CFU/g. Additionally, we developed an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model using reconstructed human epidermis (RHE) treated with a Th2 cytokine cocktail to induce lower endogenous filaggrin levels similar to an atopic phenotype. We then imaged RHE cross-sections to observe phenotypic changes in structure and distribution of secreted rhFLg 9-10 using immunohistochemistry 48 hours following topical ATR01-616 application.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9745"/>
                <wp:effectExtent l="0" t="0" r="0" b="0"/>
                <wp:wrapNone/>
                <wp:docPr id="33" name="Frame22"/>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damaged pig skin model, application of ATR01-616 led to a significant reduction of TEWL compared to vehicle (p-values &lt;0.001 for each dose). At the end of the study at 20 hours, the TEWL reduction was comparable baseline (pre-heat damage) (Figure 10).</w:t>
      </w:r>
    </w:p>
    <w:p>
      <w:pPr>
        <w:pStyle w:val="TextBody"/>
        <w:bidi w:val="0"/>
        <w:spacing w:before="0" w:after="240"/>
        <w:ind w:left="0" w:right="0" w:firstLine="720"/>
        <w:jc w:val="both"/>
        <w:rPr/>
      </w:pPr>
      <w:r>
        <w:rPr/>
      </w:r>
    </w:p>
    <w:p>
      <w:pPr>
        <w:pStyle w:val="TextBody"/>
        <w:bidi w:val="0"/>
        <w:spacing w:before="0" w:after="240"/>
        <w:ind w:left="0" w:right="0" w:firstLine="720"/>
        <w:jc w:val="center"/>
        <w:rPr/>
      </w:pPr>
      <w:r>
        <w:rPr/>
        <w:drawing>
          <wp:inline distT="0" distB="0" distL="0" distR="0">
            <wp:extent cx="5486400" cy="22860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5486400" cy="2286000"/>
                    </a:xfrm>
                    <a:prstGeom prst="rect">
                      <a:avLst/>
                    </a:prstGeom>
                  </pic:spPr>
                </pic:pic>
              </a:graphicData>
            </a:graphic>
          </wp:inline>
        </w:drawing>
      </w:r>
      <w:bookmarkStart w:id="11" w:name="i-12"/>
      <w:bookmarkEnd w:id="11"/>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Figure 10: Topical ATR-01-616 application reduces transepidermal water loss in a damaged pig skin model.</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the </w:t>
      </w:r>
      <w:r>
        <w:rPr>
          <w:rFonts w:ascii="Times New Roman;serif" w:hAnsi="Times New Roman;serif"/>
          <w:b w:val="false"/>
          <w:i/>
          <w:color w:val="000000"/>
          <w:sz w:val="20"/>
        </w:rPr>
        <w:t xml:space="preserve">in vitro </w:t>
      </w:r>
      <w:r>
        <w:rPr>
          <w:rFonts w:ascii="Times New Roman;serif" w:hAnsi="Times New Roman;serif"/>
          <w:b w:val="false"/>
          <w:color w:val="000000"/>
          <w:sz w:val="20"/>
        </w:rPr>
        <w:t xml:space="preserve">RHE model with reduced endogenous filaggrin expression, the addition of ATR01-616 showed restoration of keratohyalin granules as well as increased filaggrin levels in the stratum granulosum compared to untreated RHE. Additionally, ATR01-616-secreted filaggrin is found co-localized to the keratins (Figure 11). </w:t>
      </w:r>
    </w:p>
    <w:p>
      <w:pPr>
        <w:pStyle w:val="TextBody"/>
        <w:bidi w:val="0"/>
        <w:spacing w:before="0" w:after="240"/>
        <w:jc w:val="center"/>
        <w:rPr/>
      </w:pPr>
      <w:r>
        <w:rPr/>
        <w:drawing>
          <wp:inline distT="0" distB="0" distL="0" distR="0">
            <wp:extent cx="5943600" cy="2286000"/>
            <wp:effectExtent l="0" t="0" r="0" b="0"/>
            <wp:docPr id="3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3" descr=""/>
                    <pic:cNvPicPr>
                      <a:picLocks noChangeAspect="1" noChangeArrowheads="1"/>
                    </pic:cNvPicPr>
                  </pic:nvPicPr>
                  <pic:blipFill>
                    <a:blip r:embed="rId14"/>
                    <a:stretch>
                      <a:fillRect/>
                    </a:stretch>
                  </pic:blipFill>
                  <pic:spPr bwMode="auto">
                    <a:xfrm>
                      <a:off x="0" y="0"/>
                      <a:ext cx="5943600" cy="2286000"/>
                    </a:xfrm>
                    <a:prstGeom prst="rect">
                      <a:avLst/>
                    </a:prstGeom>
                  </pic:spPr>
                </pic:pic>
              </a:graphicData>
            </a:graphic>
          </wp:inline>
        </w:drawing>
      </w:r>
      <w:bookmarkStart w:id="12" w:name="i-13"/>
      <w:bookmarkEnd w:id="12"/>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Figure 11: Topical ATR01-616 application results in increased filaggrin expression and colocalization with keratins in a human skin disease model.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Potential Product Candidates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Beyond our three lead product candidates, our goal is to develop a broad portfolio of product candidates focused on expanding the application of our platforms for precision dermatology. We have a proprietary platform for discovering and developing therapeutic products for precision dermatology. Our platform is built around a microbial library comprised of approximately 1,500 unique bacterial strains to allow screening for unique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9745"/>
                <wp:effectExtent l="0" t="0" r="0" b="0"/>
                <wp:wrapNone/>
                <wp:docPr id="36" name="Frame23"/>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therapeutic characteristics and utilizes microbial genetic technology that analyzes, predicts and engineers the proteins, peptides and molecules made by skin microbes. Our ability to genetically engineer intractable microbial species is uniquely leveraged by our exclusive license to the SyMPL technology. Furthermore, we are exploring cosmeceutical and consumer health product candidates arising from skin bacterial lysates and other proteins derived from our platform.</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our stage of development, we have not yet established a commercial organization or distribution capabilities. We plan to build focused capabilities in the United States to commercialize our development programs focused on live biotherapeutic products and recombinant proteins for the treatment of skin diseases, where we believe the patient populations and medical specialists for the indications we are targeting are sufficiently concentrated to allow us to effectively promote our products, if approved for commercial sale, with a targeted sales team. In other markets for which commercialization may be less capital efficient for us, we may selectively pursue strategic collaborations with third parties in order to maximize the commercial potential of our product candidates.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own or operate manufacturing facilities for the production of our current product candidates. We currently rely on third-party contract manufacturers for all of our required raw materials, manufacturing devices and active pharmaceutical ingredients and for our preclinical research and clinical trials. Although we are able to manufacture finished product in our Groton Connecticut facility for our clinical trials, we will rely on third parties for the manufacture of our finished product for commercial sale. We do not have long-term agreements with any of these third parties. We also do not have any current contractual relationship for the manufacture of Phase 3 clinical trials or commercial supplies. We intend to enter into agreements with third-party contract manufacturers and one or more backup manufacturers for future production. We are analyzing the feasibility of building manufacturing capabilities for future development and commercial quantities of any products that we develop. Such products will need to be manufactured in facilities, and by processes, that comply with the requirements of the FDA and the regulatory agencies of other jurisdictions in which we are seeking approval.</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biopharmaceutical industry is characterized by rapidly advancing technologies, intense competition and a strong emphasis on proprietary drugs. While we believe that our knowledge, experience and scientific resources provide us with competitive advantages, we face potential competition from many different sources, including other biopharmaceutical companies, academic institutions and governmental agencies as well as public and private research institutions. Any drug candidates that we successfully develop and commercialize will compete with existing treatments and new treatments that may become available in the future.</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Netherton syndrome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With respect to Netherton syndrome, no drug has been approved by the FDA, specifically for Netherton syndrome, to date. Standard of care includes cleansing of the skin with a gentle/soft non-detergent liquid cleansing oil, preferably with an acidic pH (5). Because Netherton syndrome patient skin is most often dry, scaly and peeling, emollients and moisturizers are also often used. Keratolytics such as salicylic acid, urea or alpha-hydroxy acids are often irritative and not well tolerated by Netherton syndrome patients. The skin of Netherton syndrome patients is prone to frequent bacterial infections. Limited infections are treated with topical antibiotics for a short period of up to 2 weeks. Oral antibiotics may also be used to treat the pathogenic </w:t>
      </w:r>
      <w:r>
        <w:rPr>
          <w:rFonts w:ascii="Times New Roman;serif" w:hAnsi="Times New Roman;serif"/>
          <w:b w:val="false"/>
          <w:i/>
          <w:color w:val="000000"/>
          <w:sz w:val="20"/>
        </w:rPr>
        <w:t>Staphylococcus aureus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Streptococcus</w:t>
      </w:r>
      <w:r>
        <w:rPr>
          <w:color w:val="000000"/>
        </w:rPr>
        <w:t xml:space="preserve"> </w:t>
      </w:r>
      <w:r>
        <w:rPr>
          <w:rFonts w:ascii="Times New Roman;serif" w:hAnsi="Times New Roman;serif"/>
          <w:b w:val="false"/>
          <w:color w:val="000000"/>
          <w:sz w:val="20"/>
        </w:rPr>
        <w:t xml:space="preserve">strains that can drive more extreme infections. Bleach baths are also recommended two to three times a week for their antimicrobial effects. Topical corticosteroids are often used to treat the inflammatory and hyperproliferation associated with non-infected Netherton syndrome lesions, but due to their adverse effects, must be limited. These adverse events include aminoaciduria, Cushing syndrome, skin atrophy, adrenal insufficiency, growth retardation, hypertension and weakness. Overuse of topical steroids can even aggravate the defective skin barrier by inducing loss of the stratum corneum. Systemic retinoids have shown varying degrees of efficacy in Netherton syndrome but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9745"/>
                <wp:effectExtent l="0" t="0" r="0" b="0"/>
                <wp:wrapNone/>
                <wp:docPr id="37" name="Frame24"/>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also carry bone toxicity and teratogenicity as adverse effects. Topical calcineurin inhibitors have been used to reduce erythema (redness) but patients have shown a tachyphylaxis and reduced efficacy with prolonged treatment. These immunomodulators also carry risks of serious adverse effects including increased risk of infections, swelling, burning sensations and tingling. Phototherapy (narrowband UVB (NB-UVB) and psoralen-UVA (PUVA)) has also been investigated in Netherton syndrome patients but has been limited due to its potential to cause erythema and increases in the risk of skin cancer.</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aware that Sixera Pharma initiated a clinical trial in Europe with SXR-1096, a topical small molecule KLK inhibitor in December 2021 for Netherton syndrome. In addition, Quoin Pharmaceuticals initiated a pivotal clinical trial with QRX003, a topical small molecule broad-spectrum serine protease inhibitor for Netherton syndrome, in March 2023. Several studies have been terminated with other investigational products for Netherton syndrome: (1) Boehringer Ingelheim’s spesolimab, an IL-36 inhibitor, was in a Phase 2/3 clinical trial for Netherton syndrome that was terminated in December 2025; and (2) Daiichi Sankyo’s DS-2325a was in a Phase 1/2 clinical study for Netherton syndrome that was terminated in January 2025. Furthermore, ResVita Bio, and MatriSys have reported they are developing Netherton syndrome programs that are at a preclinical stage.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commercial opportunity could be reduced or eliminated if our competitors develop and commercialize drugs that are safer, more effective, have fewer or less severe side effects, are more convenient or are less expensive than ATR-12 or any other drug that we may develop. Our competitors also may obtain FDA or other regulatory approval for their drugs more rapidly than we may obtain approval for our drug, which could result in our competitors establishing a strong market position before we are able to enter the market. 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subject registration for clinical trials, as well as in acquiring technologies complementary to, or that may be necessary for, our programs.</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EGFRi-Associated Rash</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date, no drug has been specifically approved by the FDA for the treatment of EGFRi-associated rash. The majority of patients (estimated to be up to 90%) treated continuously with anti-EGFR therapies suffer from dermatological adverse events, especially papulopustular rash, pruritus (itching), xerosis (dryness), and paronychia (nail infections). Papulopustular or acneiform rash is the most common adverse event of EGFRis on the skin. This rash negatively impacts compliance with EGFRi treatment in many patients. Dose modification or discontinuation treatment occurs in severe cases. Because evidence-based controlled trials are still very sparse, treatment of EGFRi skin toxicity primarily relies on physician experience, and recommendations from expert consensus conferences. As a result, there are geographical variations and even inconsistencies in the clinical treatment of EGFRi skin rash. Topical corticosteroids are avoided in Europe with respect to acneiform rash but are often used in the United States. Furthermore, topical treatment is frequently customized to the individual patient and may change on a case-by-case basis. No topical treatment scheme is universally applicable for all patients.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aware of the following Phase 2 programs developing investigational drug candidates for EGFRi associated rash; Hoth Therapeutics is developing HT-001, or topical aprepitant, a neurokinin 1 inhibitor in the US; Lutris Pharma is developing LUT014, a topical B-Raf inhibitor, in the US and Israel. Daewoong Pharmaceutical Co. Ltd. is developing DWP708 in Korea.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99745"/>
                <wp:effectExtent l="0" t="0" r="0" b="0"/>
                <wp:wrapNone/>
                <wp:docPr id="38" name="Frame25"/>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actively seek to protect our proprietary technology, inventions, improvements to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future in-licensing opportunities to develop, strengthen and maintain the strength of our position in the field of gene therapy that may be important for the development of our business. Additional regulatory protection may also be afforded through data exclusivity, market exclusivity and patent-term extensions where available.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we own or exclusively license seven issued U.S. patents, two allowed patent applications, 9 pending U.S. patent applications, and 85 other foreign patents and patent applications that are important to the development of our business.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policy is to file patent applications to protect proprietary technology, inventions and improvements to inventions and other intellectual property that may be commercially important to the development of our business. We also intend to seek additional patent protection or rely upon know-how or trade secret rights to protect other technologies that may be used to manufacture and develop our live biotherapeutic products. As described below, we are a party to exclusive license agreements that grant us rights to use specific technologies in our live biotherapeutic products and in the manufacturing and development of our products.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Patent Portfolio</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Our patent portfolio has broad coverage for therapeutic bacteria pharmaceutical compositions containing these therapeutic bacteria for treating abnormal skin conditions and methods of making and using these recombinant bacteria. In our broadest filing, we have secured a US patent that protects pharmaceutical compositions for treating abnormal skin conditions using a bacterial strain expressing a therapeutically effective amount of a recombinant polypeptide. This patent expires in May 2035. Specifically, this issued patent covers a pharmaceutical composition containing one or more of the following bacterial strains: </w:t>
      </w:r>
      <w:r>
        <w:rPr>
          <w:rFonts w:ascii="Times New Roman;serif" w:hAnsi="Times New Roman;serif"/>
          <w:b w:val="false"/>
          <w:i/>
          <w:color w:val="000000"/>
          <w:sz w:val="20"/>
        </w:rPr>
        <w:t>Bifidobacterium, Brevibacterium, Propionibacterium, Lactococcus, Streptococcus, Staphylococcus, Lactobacillus, Enterococcus, Pediococcus, Leuconostoc, or Oenococcu</w:t>
      </w:r>
      <w:r>
        <w:rPr>
          <w:rFonts w:ascii="Times New Roman;serif" w:hAnsi="Times New Roman;serif"/>
          <w:b w:val="false"/>
          <w:color w:val="000000"/>
          <w:sz w:val="20"/>
        </w:rPr>
        <w:t>s, wherein the bacterial strain has been engineered to produce a therapeutical polypeptide for treating the abnormal skin conditions. We believe that this patent gives us broad protection for using recombinant bacteria to treat skin diseases and disorders. through its expiration in May 2035.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Patent applications directed to our most advanced programs are summarized below.</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ATR-12</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Our ATR-12 product candidate is subject to three issued US patents, seven pending US patent applications, and 40 pending foreign patents and patent applications. These patents and patent applications represent ten families of claims covering, among other aspects, the pharmaceutical composition of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 xml:space="preserve">expressing a recombinant therapeutic polypeptide, the auxotrophic strain of </w:t>
      </w:r>
      <w:r>
        <w:rPr>
          <w:rFonts w:ascii="Times New Roman;serif" w:hAnsi="Times New Roman;serif"/>
          <w:b w:val="false"/>
          <w:i/>
          <w:color w:val="000000"/>
          <w:sz w:val="20"/>
        </w:rPr>
        <w:t>S. epidermidis</w:t>
      </w:r>
      <w:r>
        <w:rPr>
          <w:rFonts w:ascii="Times New Roman;serif" w:hAnsi="Times New Roman;serif"/>
          <w:b w:val="false"/>
          <w:color w:val="000000"/>
          <w:sz w:val="20"/>
        </w:rPr>
        <w:t xml:space="preserve">, and the recombinant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 xml:space="preserve">strain expressing a therapeutic LEKTI protein, and formulations of ATR-12. One of the issued US patents covers a recombinant bacterial strain containing a therapeutic polypeptide for treating abnormal skin conditions and expires in 2035. The second issued US patent covers an auxotrophic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that will expire in 2039. If additional patents were to grant from the pending patent applications, they would expire between 2035 and 2044.</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ATR-04</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ATR-04 product candidate is subject to one issued US patent, two pending US patent applications, and 20 pending foreign applications. These patents and patent applications represent two families of claims directed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99745"/>
                <wp:effectExtent l="0" t="0" r="0" b="0"/>
                <wp:wrapNone/>
                <wp:docPr id="39" name="Frame26"/>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auxotrophic strains of bacteria and their therapeutic use for treating disease. We have one issued US patent that covers ATR-04. If additional patents were to grant, they would also expire in 2039.</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Patent Term and Term Extension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In addition, in certain instances, the term of a U.S. patent can be extended to recapture a portion of the United States Patent and Trademark Office, or the USPTO, delay in issuing the patent as well as a portion of the term effectively lost as a result of the FDA regulatory review period. However, as to the FDA component, the restoration period cannot be longer than five years and the restoration period cannot extend the patent term beyond 14 years from FDA approval. In addition, only one patent applicable to an approved drug is eligible for the extension, and only those claims covering the approved drug, a method for using it, or a method of manufacturing may be extended. The duration of foreign patents varies in accordance with provisions of applicable local law, but typically is also 20 years from the earliest effective filing date. All taxes, annuities or maintenance fees for a patent, as required by the USPTO and various foreign jurisdictions, must be timely paid in order for the patent to remain in force during this period of time.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actual protection afforded by a patent may vary on a product-by-product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Our patents 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the section titled “</w:t>
      </w:r>
      <w:r>
        <w:rPr>
          <w:rFonts w:ascii="Times New Roman;serif" w:hAnsi="Times New Roman;serif"/>
          <w:b w:val="false"/>
          <w:i/>
          <w:color w:val="000000"/>
          <w:sz w:val="20"/>
        </w:rPr>
        <w:t>Risk Factors—Risks Related to Our Intellectual Property</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Trade Secrets and Know-How</w:t>
      </w:r>
    </w:p>
    <w:p>
      <w:pPr>
        <w:pStyle w:val="TextBody"/>
        <w:bidi w:val="0"/>
        <w:spacing w:lineRule="auto" w:line="288" w:before="0" w:after="240"/>
        <w:ind w:left="0" w:right="0" w:firstLine="720"/>
        <w:jc w:val="both"/>
        <w:rPr/>
      </w:pPr>
      <w:r>
        <w:rPr>
          <w:rFonts w:ascii="Times New Roman;serif" w:hAnsi="Times New Roman;serif"/>
          <w:b w:val="false"/>
          <w:color w:val="000000"/>
          <w:sz w:val="20"/>
        </w:rPr>
        <w:t>We may also rely on trade secrets, know-how, continuing technological innovation and confidential information to develop and maintain our proprietary position and protect aspects of our business that are not amenable to, or that we do not consider appropriate for, patent protection, including our proprietary processes for manufacturing our live biotherapeutic products. We seek to protect our proprietary technology and processes,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These agreements may be breached, and we may not have adequate remedies for any breach. In addition, our trade secrets may otherwise become known or be independently discovered by competitors. To the extent that our contractors, commercial partners, collaborators, employees, and consultants use intellectual property owned by others in their work for us, disputes may arise as to the rights in related or resulting know-how and inventions. For more information, see the section titled “</w:t>
      </w:r>
      <w:r>
        <w:rPr>
          <w:rFonts w:ascii="Times New Roman;serif" w:hAnsi="Times New Roman;serif"/>
          <w:b w:val="false"/>
          <w:i/>
          <w:color w:val="000000"/>
          <w:sz w:val="20"/>
        </w:rPr>
        <w:t>Risk Factors—Risks Related to Our Intellectual Property</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seek to preserve the integrity and confidentiality of our data and trade secrets by maintaining physical security of our premises and physical and electronic security of our information technology systems.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Exclusive License Agreement with Fred Hutchison Cancer Center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2022, we entered into an Exclusive License Agreement with the Fred Hutchinson Cancer Center, or Fred Hutch. Pursuant to our agreement with Fred Hutch, we obtained an exclusive worldwide license under certain patents related to SyMPL technologies developed and owned by Fred Hutch to develop, make, manufacture, have manufactured, distribute, have distributed, use, research, improve, import, offer to sell and sell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99745"/>
                <wp:effectExtent l="0" t="0" r="0" b="0"/>
                <wp:wrapNone/>
                <wp:docPr id="40" name="Frame27"/>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and otherwise commercialize products that are covered by such patents. Such exclusive license is subject to certain rights retained by Fred Hutch and the U.S. government. The patent rights licensed to us by Fred Hutch consist of two families of patent applications directed to methods of bypassing restriction modification systems in order to more easily introduce xenogeneic DNA into engineered microbes. These patents applications and any patents that issue from these applications will allow us to produce more modified microbes for the treatment of disease. Our current product candidates do not incorporate the SyMPL technology platform, but we expect that some or all of our future product candidates will do so. If issued, these two families will expire in 2037 and 2040, respectively.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consideration of the license granted to us under the Fred Hutch license agreement, we paid Fred Hutch a nominal upfront payment. In addition, we are required to pay Fred Hutch certain development and commercial milestone payments and running single digit royalty on net sales of the licensed products. The Fred Hutch agreement also requires us to reimburse Fred Hutch for the cost of the prosecution and maintenance of the licensed patents.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Pursuant to the Fred Hutch license agreement, we are required to use commercially reasonable efforts to bring a licensed product to market through a vigorous and diligent program for exploitation of the licensed patent rights. The term of the Fred Hutch license agreement will continue until the later of (i) the expiration of the licensed patents or (ii) ten years from the first sale of a licensed product. We may terminate the Fred Hutch license agreement at will at any time upon prior written notice to Fred Hutch. Fred Hutch has the right to terminate the Fred Hutch license agreement if we materially breach the agreement and fail to cure such breach within a specified cure period or if we become bankrupt or insolvent. For more information related to the intellectual property acquired pursuant to the Fred Hutch license agreement, see the section titled “</w:t>
      </w:r>
      <w:r>
        <w:rPr>
          <w:rFonts w:ascii="Times New Roman;serif" w:hAnsi="Times New Roman;serif"/>
          <w:b w:val="false"/>
          <w:i/>
          <w:color w:val="000000"/>
          <w:sz w:val="20"/>
        </w:rPr>
        <w:t>Business-Licenses and Intellectual Property Rights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hold registered trademarks for our corporate name and design in the U.S. and in seven foreign countries.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Government Regulations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Pharmaceutical companies are subject to extensive regulation by foreign, federal, state and local agencies, such as the U.S. FDA, and various similar agencies in most countries worldwide. The research, development, testing, manufacture, distribution, packaging, labeling, storage, recordkeeping, marketing and sale of pharmaceutical products are subject to government regulation in the U.S. and various foreign countries. Additionally, in the U.S., we must follow rules and regulations established by the FDA requiring the presentation of data indicating that our product candidates are safe and effective and are manufactured in accordance with current Good Manufacturing Practices, or cGMP, regulations. If we do not comply with applicable requirements, we may be fined, the government may refuse to approve our marketing applications or allow us to manufacture or market our product candidates, and we may be criminally prosecuted. We, our manufacturers and clinical research organizations may also be subject to regulations under other foreign, federal, state and local laws, including, but not limited to, the U.S. Occupational Safety and Health Act, the Resource Conservation and Recovery Act, the Clean Air Act and import, export and customs regulations as well as the laws and regulations of other countries. The U.S. government has increased its enforcement activity regarding illegal marketing practices domestically and internationally. As a result, pharmaceutical companies must ensure their compliance with the Foreign Corrupt Practices Act and federal healthcare fraud and abuse laws, including the False Claims Act.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regulatory requirements impact our operations and differ from one country to another, so that securing the applicable regulatory approvals of one country does not imply the approval of another country. The approval procedures involve high costs and are manpower intensive, usually extend over many years and require highly skilled and professional resources.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FDA Market Approval Process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our product candidates are regulated by the FDA as biologics under the Federal Food, Drug, and Cosmetic Act, or FDCA, the Public Health Service Act, or PHSA, and regulations promulgated by the FDA. The failure to comply with the applicable requirements at any time during the product development process, including preclinical testing, clinical testing, the approval process or post-approval process, may subject an applicant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99745"/>
                <wp:effectExtent l="0" t="0" r="0" b="0"/>
                <wp:wrapNone/>
                <wp:docPr id="41" name="Frame28"/>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delays in the conduct of clinical trials, regulatory review and approval, and/or administrative or judicial sanctions. These sanctions may include, but are not limited to, the FDA’s refusal to allow an applicant to proceed with clinical testing, refusal to approve pending applications, license suspension or revocation, withdrawal of an approval, warning letters, adverse publicity, customer notification, product recalls, product seizures, refusal to grant export or import approval, total or partial suspension of production or distribution, consent decrees, injunctions, fines, and civil or criminal investigations and penalties brought by the FDA or the U.S. Department of Justice, or other governmental entities.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steps usually required to be taken before a new biologic may be marketed in the U.S. generally include:</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completion of preclinical laboratory tests and animal studies performed in accordance with the FDA’s current Good Laboratory Practices regulation;</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submission to the FDA of an IND, which must become effective before clinical trials may begin and must be updated annually or when significant changes are made;</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approval by an independent Institutional Review Board, or IRB, or ethics committee at each treatment site before the trial is commenced;</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approval of an Institutional Biologics Committee or similar committee at each treatment site, where applicable, before the trial is commenced;</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performance of adequate and well controlled human clinical trials to establish the safety, purity and potency of the proposed biologic product candidate for its proposed indication for use;</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submission of data supporting safety and efficacy as well as detailed information on the manufacture and composition of the product in clinical development and proposed labeling;</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preparation of and submission to the FDA of a BLA after completion of all pivotal clinical trials;</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satisfactory completion of an FDA Advisory Committee review, if applicable;</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a determination by the FDA within 60 days of its receipt of a BLA to file the application for review;</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satisfactory completion of an FDA pre-approval inspection of the manufacturing facility or facilities at which the proposed product is produced to assess compliance with cGMP standards and to assure that the facilities, methods and controls are adequate to preserve the biological product’s continued safety, purity and potency, and of selected clinical investigation sites to assess compliance with Good Clinical Practices, or GCP;</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satisfactory completion of any FDA audits of the non-clinical and clinical trial sites to assure compliance with CGP requirements and the integrity of clinical data in support of the BLA;</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payment of user fees and securing FDA approval of the BLA for the proposed indication for use;</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FDA review and approval of the BLA to permit commercial marketing of the product for particular indications for use in the United States;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compliance with any post-approval requirements, including REMS and any post-approval studies required by the FDA.</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Preclinical Studies and Investigational New Drug Application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Preclinical tests include laboratory evaluations of product chemistry, formulation and stability, as well as animal studies to evaluate the potential for efficacy and toxicity in animals.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 Some preclinical tests may continue even after submission of the IND application. The IND automatically becomes effective 30 days after receipt by the FDA, unless before that time the FDA raises concerns or questions about the product or conduct of the proposed clinical trial, including concerns that human research volunteers will be exposed to unreasonable health risks. In that case, the IND sponsor and the FDA must resolve any outstanding FDA concerns before the clinical trial can begin.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submission of the IND may result in the FDA not allowing the clinical trials to commence or allowing the clinical trial to commence on the terms originally specified by the sponsor in the IND. If the FDA raises concerns or questions either during this initial 30-day period, or at any time during the IND process, it may choose to impose a partial or complete clinical hold. This order issued by the FDA would delay either a proposed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99745"/>
                <wp:effectExtent l="0" t="0" r="0" b="0"/>
                <wp:wrapNone/>
                <wp:docPr id="42" name="Frame29"/>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clinical trial or cause delay in initiation of a phase of an ongoing clinical trial, until all outstanding concerns have been adequately addressed and the FDA has notified the company that investigations may proceed. This could cause significant delays or difficulties in completing planned clinical trials in a timely manner.</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Clinical Trials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Clinical trials involve the administration of the investigational product candidate to healthy volunteers or patients with the disease to be treated under the supervision of a qualified principal investigator in accordance with good clinical practice, or GCP, requirements. Clinical studies are conducted under protocols detailing, among other things, the objectives of the study, what types of patients may enter the study, schedules of tests and procedures, drugs, dosages, and length of study, as well as the parameters to be used in monitoring safety, and the efficacy criteria to be evaluated. A protocol for each clinical study and any subsequent protocol amendments must be submitted to the FDA as part of the IND process.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sponsor who wishes to conduct a clinical trial outside the U.S. may, but need not, obtain FDA authorization to conduct the clinical trial under an IND. If a clinical trial outside the U.S. is not conducted under an IND, the sponsor may submit data from the clinical trial to the FDA in support of a BLA so long as the clinical trial is conducted consistent with the spirit of GCP and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IRB, either centrally or individually, must also review each clinical trial at each institution at which the clinical trial will be conducted. The IRB will consider, among other things, clinical trial design, patient informed consent, ethical factors, the safety of human subjects, the possible liability of the institution, and, where appropriate, the protection of privacy of the human subjects. An IRB must operate in compliance with the FDA regulations. The FDA, IRB, or the clinical trial sponsor, or the principal investigator may suspend or discontinue a clinical trial at any time for various reasons, including a finding that the clinical trial is not being conducted in accordance with FDA requirements or the subjects or patients are being exposed to an unacceptable health risk. Clinical testing also must satisfy extensive GCP rules and the requirements for informed consent. Additionally, some clinical studies are overseen by an independent group of qualified experts organized by the clinical study sponsor, known as a data safety monitoring board or committee. This group recommends whether or not a trial may move forward at designated check points based on access to certain data from the study. The clinical study sponsor may also suspend or terminate a clinical trial based on evolving business objectives and/or competitive climate.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Clinical trials are usually conducted in three sequential phases, but the phases may overlap or be combined. Annual progress detailing the results of the clinical trial phases must be submitted to the FDA.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Phase 1</w:t>
      </w:r>
      <w:r>
        <w:rPr>
          <w:color w:val="000000"/>
        </w:rPr>
        <w:t xml:space="preserve"> </w:t>
      </w:r>
      <w:r>
        <w:rPr>
          <w:rFonts w:ascii="Times New Roman;serif" w:hAnsi="Times New Roman;serif"/>
          <w:b w:val="false"/>
          <w:color w:val="000000"/>
          <w:sz w:val="20"/>
        </w:rPr>
        <w:t>clinical trials are normally conducted in small groups of healthy volunteers to assess safety and tolerability of various dosing regimens and pharmacokinetics. For some products for orphan, severe or life-threatening diseases, especially if the product may be too toxic to administer to healthy humans, the initial clinical trials may be conducted in individuals having a specific disease for which use the tested product is indicated. These trials in patients are often referred to as Phase 1b trials. If they include a design to establish a particular dose, they are commonly referred to as Phase 1b/2a clinical trials. Nevertheless, additional Phase 2 (sometimes called Phase 2b) clinical trials are often necessary to refine the final dose chosen to take into a pivotal Phase 3 clinical trial.</w:t>
      </w:r>
    </w:p>
    <w:p>
      <w:pPr>
        <w:pStyle w:val="TextBody"/>
        <w:bidi w:val="0"/>
        <w:spacing w:lineRule="auto" w:line="288" w:before="0" w:after="120"/>
        <w:ind w:left="0" w:right="0" w:hanging="360"/>
        <w:jc w:val="both"/>
        <w:rPr/>
      </w:pPr>
      <w:r>
        <w:rPr>
          <w:color w:val="000000"/>
        </w:rPr>
        <w:t>•</w:t>
      </w:r>
      <w:r>
        <w:rPr>
          <w:rFonts w:ascii="Times New Roman;serif" w:hAnsi="Times New Roman;serif"/>
          <w:b w:val="false"/>
          <w:i/>
          <w:color w:val="000000"/>
          <w:sz w:val="20"/>
        </w:rPr>
        <w:t>Phase 2</w:t>
      </w:r>
      <w:r>
        <w:rPr>
          <w:color w:val="000000"/>
        </w:rPr>
        <w:t xml:space="preserve"> </w:t>
      </w:r>
      <w:r>
        <w:rPr>
          <w:rFonts w:ascii="Times New Roman;serif" w:hAnsi="Times New Roman;serif"/>
          <w:b w:val="false"/>
          <w:color w:val="000000"/>
          <w:sz w:val="20"/>
        </w:rPr>
        <w:t>clinical trials are generally conducted in a limited patient population to identify possible adverse effects and safety risks, evaluate the efficacy of the product candidate for specific targeted indications and determine does tolerance and optimal dosage. Multiple Phase 2 clinical trials may be conducted by the sponsor to obtain information prior to beginning larger and more costly Phase 3 clinical trials.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i/>
          <w:color w:val="000000"/>
          <w:sz w:val="20"/>
        </w:rPr>
        <w:t>Phase 3</w:t>
      </w:r>
      <w:r>
        <w:rPr>
          <w:color w:val="000000"/>
        </w:rPr>
        <w:t xml:space="preserve"> </w:t>
      </w:r>
      <w:r>
        <w:rPr>
          <w:rFonts w:ascii="Times New Roman;serif" w:hAnsi="Times New Roman;serif"/>
          <w:b w:val="false"/>
          <w:color w:val="000000"/>
          <w:sz w:val="20"/>
        </w:rPr>
        <w:t xml:space="preserve">clinical trials proceed if the Phase 2 clinical trials demonstrate that a dose range of the product candidate is potentially effective and has an acceptable safety profile. Phase 3 clinical trials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99745"/>
                <wp:effectExtent l="0" t="0" r="0" b="0"/>
                <wp:wrapNone/>
                <wp:docPr id="43" name="Frame30"/>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undertaken to further evaluate, in a larger number of patients,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drug: such Phase 3 studies are referred to as “pivotal.”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 may order the temporary or permanent discontinuation of a clinical study at any time or impose other sanctions if it believes that the clinical study is not being conducted in accordance with FDA requirements or that the participants are being exposed to an unacceptable health risk. In some cases, the FDA may approve a BLA for a product candidate but require the sponsor to conduct additional clinical trials to further assess the drug’s safety and effectiveness after BLA approval. Such post-approval trials are typically referred to as Phase 4 clinical trials. These studies are used to gain additional experience data from the treatment of patients in the intended therapeutic indication and to document a clinical benefit in the case of drugs or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Failure to exhibit due diligence with regard to conducting Phase 4 clinical trials could result in withdrawal of approval for products.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Compliance with cGMP Requirements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product candidate moves through the clinical testing phases, manufacturing processes are further defined, refined, controlled and validated. The level of control and validation required by the FDA increases as clinical studies progress. The FDA typically will not approve a BLA application unless it determines that the manufacturing processes and facilities are in full compliance with cGMP requirements and able to assure consistent production of the product within required specifications. The PHSA emphasizes the importance of manufacturing control for products like biologics whose attributes cannot be precisely defined.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the third-party manufacturers on which we rely for the manufacture of our product candidates and their respective components (including the active pharmaceutical ingredient, or API) are subject to requirements that drugs be manufactured, packaged and labeled in conformity with cGMPs. To comply with cGMP requirements, manufacturers must continue to spend time, money and effort to meet requirements relating to personnel, facilities, equipment, production and process, labeling and packaging, quality control, recordkeeping and other requirements.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Manufacturers and others involved in the manufacture and distribution of products must also register their establishments with the FDA and certain state regulatory bodies. Both U.S. and non-U.S. manufacturing establishments must register and provide additional information to the FDA upon their initial participation in the manufacturing process. Any product manufactured by or imported from a facility that has not registered, whether U.S. or non-U.S.,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BLA Submission and Review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Assuming completion of all required testing in accordance with all applicable regulatory requirements, detailed information on the product candidate is submitted to the FDA in the form of a BLA, requesting approval to market the product for one or more indications, together with payment of a user fee, unless waived. A BLA includes all relevant data available from pertinent nonclinical and clinical studies, including negative or ambiguous results as well as positive findings, together with detailed information on the chemistry, manufacture, controls and proposed labeling, among other things. To support marketing approval, the data submitted must be sufficient in quality and quantity to establish the safety and efficacy of the product candidate for its intended use to the satisfaction of the FDA. The FDA also conducts a pre-approval inspection of the manufacturer and laboratory prior to approval of the BLA.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99745"/>
                <wp:effectExtent l="0" t="0" r="0" b="0"/>
                <wp:wrapNone/>
                <wp:docPr id="44" name="Frame31"/>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BLA submission is accepted for filing, the FDA begins an in-depth review of the BLA. Under the Prescription Drug User Fee Act, or PDUFA, the FDA’s goal is to complete its initial review and respond to the applicant within ten months of submission, unless the application relates to an unmet medical need, or is for a serious or life-threatening indication, in which case the goal may be within six months of BLA submission. However, PDUFA goal dates are not legal mandates, and the FDA response often occurs several months beyond the original PDUFA goal date. Further, the review process and the target response date under PDUFA may be extended if the FDA requests or the BLA sponsor otherwise provides additional information or clarification regarding information already provided in the BLA. The BLA review process can, accordingly, be very lengthy. During its review of a BLA, the FDA may refer the application to an advisory committee for review, evaluation and recommendation as to whether the application should be approved. The FDA is not bound by the recommendation of an advisory committee, but it typically follows such recommendations. Data from clinical studies are not always conclusive and the FDA and/or any advisory committee it appoints may interpret data differently than the applicant.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the FDA evaluates the BLA and inspects manufacturing facilities where the drug product and/or its API will be produced and tested, it will either approve commercial marketing of the drug product with prescribing information for specific indications or issue a complete response letter indicating that the application is not ready for approval and stating the conditions that must be met in order to secure approval of the BLA. If the complete response letter requires additional data and the applicant subsequently submits that data, the FDA nevertheless may ultimately decide that the BLA does not satisfy its criteria for approval. The FDA could also approve the BLA with a Risk Evaluation and Mitigation Strategies,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post-marketing testing. Such post-marketing testing may include Phase 4 clinical trials and surveillance to further assess and monitor the product’s safety and efficacy after approval. Regulatory approval of products for serious or life-threatening indications may require that participants in clinical studies be followed for long periods to determine the overall survival benefit of the drug.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FDA approves one of our product candidates, we will be required to comply with a number of post-approval regulatory requirements. We would be required to report, among other things, certain adverse reactions and production problems to the FDA, provide updated safety and efficacy information and comply with requirements concerning advertising and promotional labeling for any of our product candidates. Also, quality control and manufacturing procedures must continue to conform to cGMPs after approval, and the FDA periodically inspects manufacturing facilities to assess compliance with cGMPs, which imposes extensive procedural, substantive and record keeping requirements. If we seek to make certain changes to an approved product, such as certain manufacturing changes, we may need FDA review and approval before the change can be implemented.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physicians may use products for indications that have not been approved by the FDA, we may not label or promote the product for an indication that has not been approved. Securing FDA approval for new indications is similar to the process for approval of the original indication and requires, among other things, submitting data from adequate and well-controlled studies that demonstrate the product’s safety and efficacy in the new indication. Even if such studies are conducted, the FDA may not approve any change in a timely fashion, or at all.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 may also require post-marketing testing, or Phase 4 testing, as well as risk minimization action plans and surveillance to monitor the effects of an approved product or place conditions or an approval that could otherwise restrict the distribution or use of the product.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Fast Track, Breakthrough Therapy and Priority Review Designations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 is authorized to designate certain products for expedited review if they are intended to address an unmet medical need in the treatment of a serious or life-threatening disease or condition, or in the event of an emergency. These programs are Fast Track designation, breakthrough therapy designation and priority review designation.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99745"/>
                <wp:effectExtent l="0" t="0" r="0" b="0"/>
                <wp:wrapNone/>
                <wp:docPr id="45" name="Frame32"/>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the Secretary of Health and Human Services may authorize unapproved drugs and biologics to be marketed in the event an actual or potential emergency has been designated by the U.S. government. After an emergency has been designated, the FDA may issue an Emergency Use Authorization, or EUA, for the use of a specific product based on criteria established by the FDCA. An EUA is product specific and is subject to specific conditions and restrictions. Once the emergency underlying the EUA ends, then the EUA terminates.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Pediatric Rare Disease Designation and Priority Review Vouchers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FDCA, as amended, the FDA incentivizes the development of drugs and biologics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200,000 or more in the United States and for which there is no reasonable expectation that the cost of developing and making in the United States a drug or biologic for such disease or condition will be received from sales in the United States of such drug or biologic. The sponsor of a product candidate for a rare pediatric disease may be eligible for a voucher that can be used to obtain a priority review for a subsequent human drug or biologic application after the date of approval of the rare pediatric disease drug product, referred to as a priority review voucher, or PRV. A sponsor may request rare pediatric disease designation from the FDA prior to the submission of its NDA or BLA. A rare pediatric disease designation does not guarantee that a sponsor will receive a PRV upon approval of its NDA or BLA. Moreover, a sponsor who chooses not to submit a rare pediatric disease designation request may nonetheless receive a PRV upon approval of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99745"/>
                <wp:effectExtent l="0" t="0" r="0" b="0"/>
                <wp:wrapNone/>
                <wp:docPr id="46" name="Frame33"/>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marketing application if they request such a voucher in their original. marketing application and meet all of the eligibility criteria. If a PRV is received, it may be sold or transferred an unlimited number of times. Congress extended the PRV program under the Consolidated Appropriations ACT of 2026, or CAA, which was signed into law on February 3, 2026. The CAA included the Naylon Give Kids a Chance Act that reauthorizes the Rare Pediatric Disease PRV program until September 30, 2029.</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Post-Approval Regulation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Once regulatory approval for marketing of a product or new indication for an existing product is obtained, the sponsor will be required to comply with post-approval regulatory requirements, including any post-approval requirements that the FDA may have imposed as a condition of approval.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drug manufacturers. Accordingly, the sponsor and its third-party manufacturers must continue to expend time, money and effort in the areas of production and quality control to maintain compliance with cGMP regulations and other regulatory requirements.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restrictions on the marketing or manufacturing of the product, complete withdrawal of the product from the market or product recalls;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fines, warning letters or holds on post-approval clinical trials;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refusal of the FDA to approve pending BLAs or supplements to approved BLAs, or suspension or revocation of product license approvals;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product seizure or detention, or refusal to permit the import or export of products; or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9745"/>
                <wp:effectExtent l="0" t="0" r="0" b="0"/>
                <wp:wrapNone/>
                <wp:docPr id="47" name="Frame34"/>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Orphan Drug Designation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Orphan Drug Act, the FDA may grant orphan designation to a drug intended to treat a rare disease or condition affecting fewer than 200,000 individuals in the United States, or in other limited cases. Orphan drug designation (ODD) provides for seven years of market exclusivity, independent of patent protection, to the company with ODD that brings a particular product to market. In addition, companies developing orphan drugs are eligible for certain incentives, including tax credits for qualified clinical testing. In addition, a BLA for a product that has received orphan drug designation is not subject to a prescription drug user fee unless the application includes an indication other than the rare disease or condition for which the drug was designated.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gain exclusivity, if a product that has orphan drug designation subsequently receives the first FDA approval for the disease or condition for which it has such designation, the product is entitled to the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In addition, doctors may prescribe products for off-label uses and undermine our exclusivity. Orphan drug exclusivity could block the approval of one of our product candidates for seven years if a competitor obtains approval for the same active moiety for the same indication before we do, unless we are able to demonstrate that our product is clinically superior.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approved product. More than one sponsor may receive orphan drug designation for the same product for the same rare disease or condition, but each sponsor seeking orphan drug designation must file a complete request for designation, and only the first sponsor that obtains approval for that drug for the orphan indication will obtain market exclusivity, effectively preventing the FDA from approving products under development by competitors for the same drug and same indication, unless the competitor is able to demonstrate that the product under development is clinically superior to the approved product or the approved product is not available in sufficient quantities. To permit the FDA to end another manufacturer’s orphan exclusivity period, the FDA must determine that the manufacturer has demonstrated clinical superiority by showing the later drug is safer, more effective, or otherwise makes a major contribution to patient care.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period of exclusivity begins on the date that the marketing application is approved by the FDA and applies only to the indication for which the product has been designated. The FDA may approve a second application for the same product for a different use or a subsequent application for a different drug for the same indication. Orphan drug designation neither shortens the development time or regulatory review time of a drug nor gives the drug any advantage in the regulatory review or approval process.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plan to pursue orphan drug designation and exclusivity for some of our product candidates in the United States, European Union, and other geographies of interest for specific products. We cannot guarantee that we will obtain orphan drug designation for any products in any jurisdiction. Even if we are able to obtain orphan drug designation for a product, we cannot be sure that such product will be approved, that we will be able to obtain orphan drug exclusivity upon approval, if ever, or that we will be able to maintain any exclusivity that is granted.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Biosimilars and Exclusivity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Patient Protection and Affordable Care Act, or ACA, which was signed into law on March 23, 2010, included a subtitle called the Biologics Price Competition and Innovation Act of 2009, or BPCIA. The BPCIA established a regulatory scheme authorizing the FDA to approve biosimilars and interchangeable biosimilars. The FDA has issued several draft guidance documents outlining an approach to review and approval of biosimilars. Complexities associated with the larger, and often more complex, structures of biological products, as well as the processes by which such products are manufactured, pose significant hurdles to implementation, which are still being worked out by the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99745"/>
                <wp:effectExtent l="0" t="0" r="0" b="0"/>
                <wp:wrapNone/>
                <wp:docPr id="48" name="Frame35"/>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BPCIA, an application for a biosimilar product may not be submitted to the FDA until 4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Regulation Outside the United States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market any product outside of the United States, a company must also comply with numerous and varying regulatory requirements of other countries and jurisdictions regarding quality, safety and efficacy that govern, among other things, clinical trials, marketing authorization, commercial sales and distribution of drug products. Whether or not it obtains FDA approval for a product, the company would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Regulation and Marketing Authorization in the European Union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European Medicines Agency, or EMA, is the scientific agency of the European Union, or EU, that coordinates the evaluation and monitoring of new and approved medicinal products such as drugs and biologics. It is responsible for the scientific evaluation of applications for EU marketing authorizations, as well as the development of technical guidance and the provision of scientific advice to sponsors.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process regarding approval of medicinal products in the EU follows roughly the same lines as in the United States and likewise generally involves satisfactorily completing each of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preclinical laboratory tests, animal studies and formulation studies all performed in accordance with the applicable EU Good Laboratory Practice regulations;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submission to the relevant regulatory agencies in EU member states, or national authorities, of a clinical trial application, or CTA, for each clinical trial, which must be approved before human clinical trials may begin;</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performance of adequate and well-controlled clinical trials to establish the safety and efficacy of the product for each proposed indication;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submission to the relevant national authorities of a Marketing Authorisation Application, or MAA, which includes the data supporting safety and efficacy as well as detailed information on the manufacture and composition of the product in clinical development and proposed labeling;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99745"/>
                <wp:effectExtent l="0" t="0" r="0" b="0"/>
                <wp:wrapNone/>
                <wp:docPr id="49" name="Frame36"/>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satisfactory completion of an inspection by the relevant national authorities of the manufacturing facility or facilities, including those of third parties, at which the product is produced to assess compliance with cGMP;</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potential audits of the non-clinical and clinical trial sites that generated the data in support of the MAA;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review and approval by the relevant national authority of the MAA before any commercial marketing, sale or shipment of the product.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Preclinical Studies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Preclinical tests include laboratory evaluations of product chemistry, formulation and stability, as well as studies to evaluate the potential efficacy and toxicity in animals. The conduct of the preclinical tests and formulation of the compounds for testing must comply with the relevant EU regulations and requirements. The results of the preclinical tests, together with relevant manufacturing information and analytical data, are submitted as part of the CTA when seeking approval to start a clinical trial, and with the MAA when seeking marketing authorization.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Clinical Trial Approval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Requirements for the conduct of clinical trials in the EU including cGCP, are implemented in the currently Clinical Trials Directive 2001/20/EC and the GCP Directive 2005/28/EC. Pursuant to Directive 2001/20/EC and Directive 2005/28/EC, as amended, a system for the approval of clinical trials in the EU has been implemented through national legislation of the EU member states. Under this system, approval must be obtained from the competent national authority in which a trial is planned to be conducted, or in multiple member states if the clinical trial is to be conducted in a number of member states. To this end, a CTA is submitted, which must be supported by an investigational medicinal product dossier, or IMPD, and further supporting information prescribed by Directive 2001/20/EC and Directive 2005/28/EC and other applicable guidance documents. Furthermore, a clinical trial may only be started after a competent ethics committee has issued a favorable opinion on the clinical trial application in that country.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31, 2022, the Clinical Trials Regulation (EU) No. 536/2014 replaced the current Clinical Trials Directive 2001/20/EC. To ensure that the rules for clinical trials are identical throughout the EU, the Clinical Trials Regulation (EU) No. 536/2014 was passed as a regulation which is directly applicable in all EU member states.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the old system.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Regulation (EU) No 536/2014 aims to simplify and streamline the approval of clinical trial in the EU. The main characteristics of the regulation include:</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A streamlined application procedure via a single entry point, known as the Clinical Trials Information System;</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A single set of documents to be prepared and submitted for the application as well as simplified reporting procedures which will spare sponsors from submitting broadly identical information separately to various and different national authorities;</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A harmonized procedure for the assessment of applications for clinical trials, which is divided in two parts;</w:t>
      </w:r>
    </w:p>
    <w:p>
      <w:pPr>
        <w:pStyle w:val="TextBody"/>
        <w:bidi w:val="0"/>
        <w:spacing w:lineRule="auto" w:line="288" w:before="0" w:after="2"/>
        <w:ind w:left="0" w:right="0" w:hanging="360"/>
        <w:jc w:val="both"/>
        <w:rPr/>
      </w:pPr>
      <w:r>
        <w:rPr>
          <w:color w:val="000000"/>
        </w:rPr>
        <w:t>•</w:t>
      </w:r>
      <w:r>
        <w:rPr>
          <w:rFonts w:ascii="Times New Roman;serif" w:hAnsi="Times New Roman;serif"/>
          <w:b w:val="false"/>
          <w:color w:val="000000"/>
          <w:sz w:val="20"/>
        </w:rPr>
        <w:t>Strictly defined deadlines for the assessment of clinical trial application; and</w:t>
      </w:r>
    </w:p>
    <w:p>
      <w:pPr>
        <w:pStyle w:val="TextBody"/>
        <w:bidi w:val="0"/>
        <w:spacing w:lineRule="auto" w:line="288" w:before="0" w:after="20"/>
        <w:ind w:left="0" w:right="0" w:hanging="360"/>
        <w:jc w:val="both"/>
        <w:rPr/>
      </w:pPr>
      <w:r>
        <w:rPr>
          <w:color w:val="000000"/>
        </w:rPr>
        <w:t>•</w:t>
      </w:r>
      <w:r>
        <w:rPr>
          <w:rFonts w:ascii="Times New Roman;serif" w:hAnsi="Times New Roman;serif"/>
          <w:b w:val="false"/>
          <w:color w:val="000000"/>
          <w:sz w:val="20"/>
        </w:rPr>
        <w:t>The involvement of the ethics committees in the assessment procedure in accordance with the national law of the member state concerned but within the overall timelines defined by the Regulation (EU) No 536/2014.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99745"/>
                <wp:effectExtent l="0" t="0" r="0" b="0"/>
                <wp:wrapNone/>
                <wp:docPr id="50" name="Frame37"/>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Marketing Authorization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Authorization to market a product in the member states of the EU proceeds under one of four procedures: a centralized procedure, a mutual recognition procedure, a decentralized procedure or a national procedure.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Centralized Procedure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centralized procedure enables applicants to obtain a marketing authorization that is valid in all EU member states based on a single application. Certain medicinal products, including products developed by means of biotechnological processes must undergo the centralized authorization procedure for marketing authorization, which, if granted by the European Commission, based on the opinion of the EMA, is automatically valid in all EU member states. Sponsors may elect to file an MAA through the centralized procedures for other classes of products.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centralized procedure is mandatory for certain types of products such as, medicines derived from biotechnology processes such as genetic engineering, advanced-therapy medicines such as gene-therapy or tissue engineered medicine, orphan medicines, and medicinal products containing a new active substance indicated for the treatment of HIV, AIDS, cancer, diabetes, neurodegenerative disorders, autoimmune and other immune dysfunctions, and viral diseases.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centralized authorization procedure is optional for other medicinal products if they contain a new active substance, if the applicant shows that the medicinal product concerned constitutes a significant therapeutic, scientific or technical innovation, or that the granting of authorization is in the public interest of the EU.</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Administration Procedure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centralized procedure, the EMA’s Committee for Human Medicinal Products, or CHMP serves as the scientific committee that renders opinions about the safety, efficacy and quality of medicinal products for human use on behalf of the EMA. The CHMP is composed of experts nominated by each member state’s national authority for medicinal products, with one of them appointed to act as Rapporteur for the co-ordination of the evaluation with the possible assistance of a further member of the Committee acting as a Co-Rapporteur. After approval, the Rapporteur(s) continue to monitor the product throughout its life cycle. The CHMP has 210 active days to adopt an opinion as to whether a marketing authorization should be granted. The process usually takes longer in case additional information is requested, which triggers clock-stops in the procedural timelines. The process is complex and involves extensive consultation with the regulatory authorities of member states and a number of experts. When an application is submitted for a marketing authorization in respect of a drug which is of major interest from the point of view of public health and in particular from the viewpoint of therapeutic innovation, the applicant may, pursuant to Article 14(9) Regulation (EC) No 726/2004,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 Once the procedure is completed, a European Public Assessment Report, or EPAR, is produced. If the opinion is negative, information is given as to the grounds on which this conclusion was reached. After the adoption of the CHMP opinion, a decision on the MAA must be adopted by the European Commission, after consulting the EU member states, which in total can take more than 60 days. After a drug has been authorized and launched, it is a condition of maintaining the marketing authorization that all aspects relating to its quality, safety and efficacy must be kept under review.</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Conditional Approval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specific circumstances, EU legislation (Article 14(7) Regulation (EC) No. 726/2004 and Regulation (EC) No. 507/2006 on Conditional Marketing Authorizations for Medicinal Products for Human Use) enables applicants to obtain a conditional marketing authorization prior to obtaining the comprehensive clinical data required for an application for a full marketing authorization. Such conditional approvals may be granted for products (including medicines designated as orphan medicinal products), if  (1) the risk-benefit balance of the product is positive, (2) it is likely that the applicant will be in a position to provide the required comprehensive clinical 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99745"/>
                <wp:effectExtent l="0" t="0" r="0" b="0"/>
                <wp:wrapNone/>
                <wp:docPr id="51" name="Frame38"/>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data, (3) the product fulfills unmet medical needs, and (4)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Marketing Authorization Under Exceptional Circumstances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per Article 14(8) Regulation (EC) No 726/2004, products for which the applicant can demonstrate that comprehensive data (in line with the requirements laid down in Annex I of Directive 2001/83/EC, as amended) cannot be provided (due to specific reasons foreseen in the legislation) might be eligible for marketing authorization under exceptional circumstances. This type of authorization is reviewed annually to reassess the risk-benefit balance. The fulfillment of any specific procedures/obligations imposed as part of the marketing authorization under exceptional circumstances is aimed at the provision of information on the safe and effective use of the product and will normally not lead to the completion of a full dossier/approval.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Pediatric Studies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Prior to obtaining a marketing authorization in the EU, applicants have to demonstrate compliance with all measures included in an EMA-approved Pediatric Investigation Plan, or PIP, covering all subsets of the pediatric population, unless the EMA has granted (1) a product-specific waiver, (2) a class waiver, or (3)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in children until there is enough information to demonstrate its effectiveness and safety in adults. The PDCO may also grant waivers when development of a medicine in children is not needed or is not appropriate, such as for diseases that only affect the elderly population.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Before a marketing authorization application can be filed, or an existing marketing authorization can be amended, the EMA determines that companies actually comply with the agreed studies and measures listed in each relevant PIP.</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Period of Authorization and Renewals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marketing authorization will be valid for five years in principle, and the marketing authorization may be renewed after five years on the basis of a re-evaluation of the risk-benefit balance by the EMA or by a national authority. To this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will be valid for an unlimited period, unless the European Commission or the national authority decides on justified grounds relating to pharmacovigilance, to proceed with one additional five-year renewal. Any authorization that is not followed by the actual placing of the drug on the EU market (in case of centralized procedure) or on the market of the authorizing member state within three years after authorization will cease to be valid, the so-called “sunset clause."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Orphan Drug Designation and Exclusivity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European Commission can grant orphan medicinal product designation to products for which the sponsor can establish that it is intended for the diagnosis, prevention, or treatment of  (1) a life-threatening or chronically debilitating condition affecting not more than five in 10,000 people in the EU, or (2) a life threatening,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99745"/>
                <wp:effectExtent l="0" t="0" r="0" b="0"/>
                <wp:wrapNone/>
                <wp:docPr id="52" name="Frame39"/>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seriously debilitating or serious and chronic condition in the EU and that without incentives it is unlikely that sales of the drug in the EU would generate a sufficient return to justify the necessary investment. In addition, the sponsor must establish that there is no other satisfactory method approved in the EU of diagnosing, preventing or treating the condition, or if such a method exists, the proposed orphan drug will be of significant benefit to patients.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Orphan drug designation provides a number of benefits, including fee reductions, regulatory assistance, and the possibility to apply for a centralized EU marketing authorization (see “—Government Regulation and Product Approval—Regulation Outside the United States—Centralized Authorization Procedure”), as well as 10 years of market exclusivity following a marketing authorization. During this market exclusivity period, neither the EMA, nor the European Commission nor the Member States can accept an application or grant a marketing authorization for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orphan drug designation criteria are no longer met, including where it is shown that the product is sufficiently profitable not to justify maintenance of market exclusivity. In addition, a competing similar medicinal product may be authorized prior to the expiration of the market exclusivity period, including if it is shown to be safer, more effective or otherwise clinically superior to the already approved orphan drug or if the holder of the marketing authorization for the already approved orphan drug is unable to supply sufficient quantities of the product.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MAA of a medicinal product designated as an orphan drug includes the results of all studies conducted in compliance with an agreed PIP, and a corresponding statement is subsequently included in the marketing authorization granted, the ten-year period of market exclusivity will be extended to twelve years.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Regulatory Data Protection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EU legislation also provides for a system of regulatory data and market exclusivity. Upon receiving marketing authorization, new chemical entities approved on the basis of complete independent data package benefit from eight years of data exclusivity and an additional two years of market exclusivity. Data exclusivity prevents regulatory authorities in the EU from referencing the innovator’s data to assess a generic or biosimilar (abbreviated) application. During the additional two-year period of market exclusivity, a generic or biosimilar marketing authorization can be submitted, and the innovator’s data may be referenced, but no generic or biosimilar medicinal product can be marketed until the expiration of the market exclusivity. The overall ten-year period will be extended to a maximum of eleven years if, during the first eight years of those 10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 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trials. However, products designated as orphan medicinal products enjoy, upon receiving marketing authorization, a period of 10 years of orphan market exclusivity (see also “Item 4.B—Government Regulation and Product Approval—Regulation and Marketing Authorization in the European Union—Orphan Drug Designation and Exclusivity”). Depending upon the timing and duration of the EU marketing authorization process, products may be eligible for up to five years’ supplementary protection certificates, or SPCs. Such SPCs extend the rights under the basic patent for the drug.</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Regulatory Requirements After a Marketing Authorization Has Been Obtained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obtain authorization for a medicinal product in the EU, we will be required to comply with a range of requirements applicable to the manufacturing, marketing, promotion and sale of medicinal products: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Pharmacovigilance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for example, have to comply with the EU’s stringent pharmacovigilance or safety reporting rules, pursuant to which post-authorization studies and additional monitoring obligations can be imposed.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99745"/>
                <wp:effectExtent l="0" t="0" r="0" b="0"/>
                <wp:wrapNone/>
                <wp:docPr id="53" name="Frame40"/>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requirements relate to, for example, the manufacturing of products and APIs in accordance with good manufacturing practice standards. EU regulators may conduct inspections to verify our compliance with applicable requirements, and we will have to continue to expend time, money and effort to remain compliant. Non-compliance with EU requirements regarding safety monitoring or pharmacovigilance, and with requirements related to the development of products for the pediatric population, can also result in significant financial penalties in the EU. Similarly, failure to comply with the EU’s requirements regarding the protection of individual personal data can also lead to significant penalties and sanctions. Individual EU member states may also impose various sanctions and penalties in case we do not comply with locally applicable requirements.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Manufacturing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manufacturing of authorized drugs, for which a separate manufacturer’s license is mandatory, must be conducted in compliance with the EMA’s cGMP requirements and comparable requirements of other national authorities, which mandate the methods, facilities and controls used in manufacturing, processing and packing of drugs to assure their safety and identity. The EMA enforces its cGMP requirements through mandatory registration of facilities and inspections of those facilities. The EMA may have a coordinating role for these inspections while the responsibility for carrying them out rests with the member states competent authority under whose responsibility the manufacturer falls. Failure to comply with these requirements could interrupt supply and result in delays, unanticipated costs and lost revenues, and could subject the applicant to potential legal or regulatory action, including but not limited to warning letters, suspension of manufacturing, seizure of product, injunctive action or possible civil and criminal penalties.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Marketing and Promotion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marketing and promotion of authorized drugs, including industry-sponsored continuing medical education and advertising directed toward the prescribers of drugs and/or the general public, are strictly regulated in the EU. The applicable regulations aim to ensure that information provided by holders of marketing authorizations regarding their products is truthful, balanced and accurately reflects the safety and efficacy claims authorized by the EMA or by the national authority of the authorizing member state. Failure to comply with these requirements can result in adverse publicity, warning letters, corrective advertising and potential civil and criminal penalties.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Other U.S. Healthcare Laws and Compliance Requirements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products distributed in the United States, we will also be subject to additional healthcare regulation and enforcement by the federal government and the states in which we conduct our business. Applicable federal and state healthcare laws and regulations include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Medicaid, or other governmental programs. A person or entity does not need to have actual knowledge of the federal anti-kickback statute or specific intent to violate it to have committed a violation; in addition, items or services resulting from a violation of the federal anti-kickback statute may constitute a false or fraudulent claim for purposes of the False Claims Act;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Ethics in Patient Referrals Act, commonly referred to as the Stark Law, and its corresponding regulations, prohibit physicians from referring patients for designated health services (including outpatient drugs) reimbursed under the Medicare or Medicaid programs to entities with which the physicians or their immediate family members have a financial relationship or an ownership interest, subject to narrow regulatory exceptions, and prohibits those entities from submitting claims to Medicare or Medicaid for payment of items or services provided to a referred beneficiary;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federal False Claims Act imposes criminal and civil penalties, including civil whistleblower or qui tam actions, against individuals or entities for knowingly presenting, or causing to be presented,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99745"/>
                <wp:effectExtent l="0" t="0" r="0" b="0"/>
                <wp:wrapNone/>
                <wp:docPr id="54" name="Frame41"/>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federal government claims for payment that are false or fraudulent or making a false statement to avoid, decrease, or conceal an obligation to pay money to the federal government;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Health Insurance Portability and Accountability Act of 1996,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 This statute also prohibits knowingly and willfully falsifying, concealing or covering up a material fact or making any materially false statement in connection with the delivery of or payment for healthcare benefits, items, or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federal false statements statute prohibits knowingly and willfully falsifying, concealing or covering up a material fact or making any materially false statement in connection with the delivery of or payment for health care benefits, items or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All such reported information is publicly available;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it is possible that some of our future business activities could be subject to challenge under one or more of such laws. Efforts to ensure that our business arrangements with third parties will comply with applicable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are found to be not in compliance with applicable laws, they may be subject to criminal, civil or administrative sanctions, including exclusions from government funded health care programs.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Reimbursement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of our product candidates in the United States may depend, in part, on the extent to which the costs of the product candidates may be covered by third-party payers, such as government health programs, commercial insurance and managed health care organizations. These third-party payers are increasingly challenging the prices charged for medical products and services. Additionally, the containment of health care costs has become a priority of federal and state governments, and the prices of drugs have been a focus in this effort. The United States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If these third-party payers do not consider our product candidates to be cost-effective compared to other available therapies, they may not cover our product candidates after approval as a benefit under their plans or, if they do, the level of payment may not be sufficient to allow us to sell our product candidates on a profitable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99745"/>
                <wp:effectExtent l="0" t="0" r="0" b="0"/>
                <wp:wrapNone/>
                <wp:docPr id="55" name="Frame42"/>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order to secure coverage and reimbursement for any product that might be approved for sale, we may need to conduct expensive pharmacoeconomic studies in order to demonstrate the medical necessity and cost-effectiveness of the product, in addition to the costs required to obtain FDA, EMA or other comparable regulatory approvals. Our product candidates may not be considered medically necessary or cost-effective. A payer’s decision to provide coverage for a drug product does not imply that an adequate reimbursement rate will be approved. Third-party reimbursement may not be sufficient to enable us to maintain price levels high enough to realize an appropriate return on our investment in product development.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The conduct of such studies could be expensive and result in delays in our commercializing efforts. The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may instead adopt a system of direct or indirect 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marketability of any products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drug pricing. Coverage policies, third-party reimbursement rates and drug pricing regulation may change at any time.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Healthcare Reform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there have been and continue to be a number of significant legislative initiatives to contain healthcare costs. The Affordable Care Act, or ACA, was enacted in the United States in March 2010 and contains provisions that may reduce the profitability of drug products, including, for example, increased rebates for drugs subject to the Medicaid Drug Rebate Program, extension of Medicaid rebates to Medicaid managed care plans, mandatory discounts for certain Medicare Part D beneficiaries and annual fees based on pharmaceutical companies’ share of sales to federal health care programs.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other legislative changes have been proposed and adopted since the ACA was enacted. These changes included aggregate reductions to Medicare payments to providers of 2% per fiscal year, effective April 1, 2013 and, due to subsequent legislative amendments to the statute, will stay in effect through 2027, unless additional Congressional action is taken; however, pursuant to the CARES Act, and subsequent legislation, these reductions are suspended from May 1, 2020 through March 31, 2022 due to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99745"/>
                <wp:effectExtent l="0" t="0" r="0" b="0"/>
                <wp:wrapNone/>
                <wp:docPr id="56" name="Frame43"/>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under Medicare, and reform government program reimbursement methodologies for drugs. The FDA released a final rule on September 24, 2020, effective November 30, 2020,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Most recently, on August 16, 2022, the Inflation Reduction Act of 2022, or the IRA, was signed into law. Among other things, the IRA directs the Department of Health and Human Services, or the HHS to negotiate the price of certain high-expenditure, single-source drugs and biologics covered under Medicare. The negotiated prices, which will first become effective in 2026, will be capped at a statutory ceiling price representing a significant discount from average prices to wholesalers and direct purchasers. The law will also, beginning in 2023, penalize drug manufacturers that increase prices of Medicare Part B and Part D drugs at a rate greater than the rate of inflation. Further, the IRA eliminates the “donut hole” under the Medicare Part D program beginning in 2025 by significantly lowering the beneficiary maximum out-of-pocket cost and creating a new manufacturer discount program. The IRA permits the Secretary of the HHS, to implement many of these provisions through guidance, as opposed to regulation, for the initial years. HHS has and will continue to issue and update guidance as these programs are implemented, although the IRA may be subject to legal challenges. It is currently unclear how the IRA will be implemented but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a number of these, and other proposed measures may require authorization through additional legislation to become effective, Congress has indicated that it will continue to seek new legislative measures to control drug costs.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additional state and federal healthcare reform measures, as well as legal changes by foreign governments, will be adopted in the future, any of which could limit the amounts that governments will pay for healthcare products and services, which could result in reduced demand for our product candidates or additional pricing pressures.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99745"/>
                <wp:effectExtent l="0" t="0" r="0" b="0"/>
                <wp:wrapNone/>
                <wp:docPr id="57" name="Frame44"/>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Employees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we have 13 employees and full-time consultants, including our executive officers, providing management and financial services, and general administrative responsibilities. We believe that we maintain a satisfactory working relationship with our employees, and we have not experienced any significant labor disputes or any difficulty in recruiting staff for our operations. None of our employees are represented by a labor union.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website is located at www.azitrainc.com. The information on or accessible through our website is not part of this annual report on Form 10-K. A copy of this annual report on Form 10-K is located at the SEC’s Public Reference Room at 100 F Street, NE, Washington, D.C. 20549. Information on the operation of the Public Reference Room can be obtained by calling the SEC at 1-800-SEC-0330. The SEC also maintains an internet site that contains reports and other information regarding our filings at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Before purchasing our common stock, you should read and consider carefully the following risk factors as well as all other information contained in this report, including our financial statements and the related notes. Each of these risk factors, either alone or taken together, could adversely affect our business, operating results and financial condition, as well as adversely affect the value of an investment in our common stock. There may be additional risks that we do not presently know of or that we currently believe are immaterial, which could also impair our business and financial position. If any of the events described below were to occur, our financial condition, our ability to access capital resources, our results of operations and/or our future growth prospects could be materially and adversely affected and the market price of our common stock could decline. As a result, you could lose some or all of any investment you may make in our common stock.</w:t>
      </w:r>
    </w:p>
    <w:p>
      <w:pPr>
        <w:pStyle w:val="TextBody"/>
        <w:bidi w:val="0"/>
        <w:spacing w:lineRule="auto" w:line="288" w:before="0" w:after="240"/>
        <w:jc w:val="center"/>
        <w:rPr/>
      </w:pPr>
      <w:r>
        <w:rPr>
          <w:rFonts w:ascii="Times New Roman;serif" w:hAnsi="Times New Roman;serif"/>
          <w:b/>
          <w:color w:val="000000"/>
          <w:sz w:val="20"/>
        </w:rPr>
        <w:t>Risks Relating to Our Business</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i/>
          <w:color w:val="000000"/>
          <w:sz w:val="20"/>
        </w:rPr>
        <w:t>We are an early-stage clinical biopharmaceutical company with limited operating history</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early-stage clinical biopharmaceutical company incorporated on January 2, 2014, and have limited operating history. We have not commenced revenue-producing operations apart from limited grant and service revenue. To date, our operations have consisted of the development of our proprietary microbial library, the identification, characterization, genetic engineering and testing of certain bacterial species to provide therapeutic effect and the development of our initial product candidates. Our limited operating history makes it difficult for potential investors to evaluate our technology or prospective operations. As an early-stage clinical biopharmaceutical company, we are subject to all the risks inherent in the organization, financing, expenditures, complications and delays involved with a new business. Accordingly, you should consider our prospects in light of the costs, uncertainties, delays and difficulties frequently encountered by companies in the early stages of development, especially early-stage clinical-stage biopharmaceutical companies such as ours. Potential investors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99745"/>
                <wp:effectExtent l="0" t="0" r="0" b="0"/>
                <wp:wrapNone/>
                <wp:docPr id="58" name="Frame45"/>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should carefully consider the risks and uncertainties that a company with a limited operating history will face. In particular, potential investors should consider that we may be unable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successfully implement or execute our business plan, or that our business plan is sound;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successfully complete preclinical and clinical trials and obtain regulatory approval for the marketing of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successfully demonstrate a favorable differentiation between our precision dermatological product candidates and the current products on the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successfully contract for the manufacture of our clinical drug products and establish a commercial drug supply;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secure market exclusivity or adequate intellectual property protection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attract and retain an experienced management and advisory team;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raise sufficient funds in the capital markets to effectuate our business plan, including product and clinical development, regulatory approval and commercialization for our product candidates.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Investors should evaluate an investment in us in light of the uncertainties encountered by developing companies in a competitive environment. There can be no assurance that our efforts will be successful or that we will ultimately be able to attain profitability. If we cannot successfully execute any one of the foregoing, our business may not succeed and your investment will be adversely affected. You must be prepared to lose all of your investment.</w:t>
      </w:r>
    </w:p>
    <w:p>
      <w:pPr>
        <w:pStyle w:val="TextBody"/>
        <w:bidi w:val="0"/>
        <w:spacing w:lineRule="auto" w:line="288" w:before="0" w:after="240"/>
        <w:ind w:left="0" w:right="0" w:firstLine="720"/>
        <w:jc w:val="both"/>
        <w:rPr/>
      </w:pPr>
      <w:r>
        <w:rPr>
          <w:rFonts w:ascii="Times New Roman;serif" w:hAnsi="Times New Roman;serif"/>
          <w:b/>
          <w:i/>
          <w:color w:val="000000"/>
          <w:sz w:val="20"/>
        </w:rPr>
        <w:t>We have a history of significant operating losses and anticipate continued operating losses for the foreseeable future</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fiscal years ended December 31, 2025 and 2024, we incurred a net loss of $11.0 million and $9.0, respectively. As of December 31, 2025, we had an accumulated deficit of $68.5 million. We expect to continue to incur substantial expenses without any meaningful revenues unless and until we are able to obtain regulatory approval and successfully commercialize at least one of our product candidates. We also believe that, at a minimum, it will take us four to six years from the date of this report for us to obtain regulatory approval of our first drug candidates, assuming we are able to get regulatory approval at all. Even if we are able to commercialize our product candidates, there can be no assurance that we will generate significant revenues or ever achieve profitability.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have significant research, regulatory and development expenses as we advance our product candidates towards commercialization. As a result, we expect to incur substantial losses for the foreseeable future, and these losses will be increasing. We are uncertain when or if we will be able to achieve or sustain profitability. If we achieve profitability in the future, we may not be able to sustain profitability in subsequent periods. Failure to become and remain profitable may impair our ability to sustain operations and adversely affect our business and our ability to raise capital. If we are unable to generate positive cash flow within a reasonable period of time, we will be unable to further pursue our business plan or continue operations, in which case you may lose your entire investment.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report of our independent registered public accounting firm for the year ended December 31, 2025 states that due to our accumulated deficit, recurring and negative cash flow from operations there is substantial doubt about our ability to continue as a going concern.</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We expect we will need additional financing to execute our business plan and fund operations, which additional financing may not be available on reasonable terms or at all.</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total assets of $5.0 million and working capital of $2.0 million. In January, 2025, we completed a public offering of 729,381 shares of our common stock, at an offering price of $2.00 per share, in which we received net proceeds of approximately $1.2 million, after deducting underwriter discounts and offering expenses, in February 2025 we completed a registered direct offering of 374,696 shares of our common stock, at an offering price of $1.85 per share, in which we received net proceeds of approximately $695 thousand,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99745"/>
                <wp:effectExtent l="0" t="0" r="0" b="0"/>
                <wp:wrapNone/>
                <wp:docPr id="59" name="Frame46"/>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after deducting placement agent commissions and offering expenses; in April 2025 we entered into an equity line of credit with Alumni Capital LP pursuant to which we have sold 9,255,823 shares and received gross proceeds of approximately $6 million; and in November 2025 we completed an offering of 535,759 shares at an offering price of $0.32, pre-funded warrants to purchase up to an aggregate of 4,151,741 shares and warrants to purchase up to an aggregate 4,687,500 shares, in which we received net proceeds of approximately, $1.3 million, after deducting underwriter discounts and offering expenses. After giving effect to these offerings, we believe that our cash on hand as of the date of this report will not be sufficient to cover our proposed plan of operations beyond three months from the date of this report. We intend to seek additional funds through various financing sources, including the sale of our equity, licensing fees for our technology and joint ventures with industry partners. In addition, we will consider alternatives to our current business plan that may enable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required to scale back our proposed plan of operations and we may be unable to continue operations, in which case you may lose your entire investment.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report of our independent registered public accounting firm for the year ended December 31, 2025 states that due to our accumulated deficit, recurring and negative cash flow from operations there is substantial doubt about our ability to continue as a going concern.</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The clinical and commercial utility of our microbial library and genetic engineering platform is uncertain and may never be realized.</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We have built a proprietary platform that includes a microbial library comprised of approximately 1,500 unique bacterial strains that can be screened for unique therapeutic characteristics. The platform is augmented by artificial intelligence, machine learning and genetic engineering technologies. To date, our focus is on the development of genetically engineered strains of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 xml:space="preserve">which we consider to be an optimal therapeutic candidate species for engineering of dermatologic therapies. However, we believe that the genetic engineering of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is a novel and unproven mode of therapy. We recently initiated our Phase 1b clinical trial for ATR-12 and dosed our first patient in August 2024 and dosed the first patient in the Phase 1/2 trial of ATR-04 in the third quarter of 2025. However, success in early clinical trials does not ensure that large-scale clinical trials will be successful, nor does it predict final results. Even after the completion of our proposed Phase 1b clinical trials, our initial product candidates will have only been tested in a small number of patients. Results from these clinical trials may not necessarily be indicative of the safety and tolerability or efficacy of our product candidates or our as we expand into larger clinical trials. Until such time, if ever, as we are able to provide the FDA with substantial clinical evidence to support a claim of safety, efficacy, purity and potency sufficient to enable the FDA to approve our proprietary product candidates for any indication, our proprietary microbial library and genetic engineering platform will remain unproven.</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Our product candidates are in early-stage clinical trials or early stages of preclinical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Because our product candidates are in early stages clinical trials or of preclinical development, they will require extensive preclinical and clinical testing. We dosed the first patient in our Phase 1b clinical trial for ATR-12 in August 2024,and we dosed the first patient in our Phase 1/2 clinical trial for ATR-04 in the third quarter of 2025. However, we have not conducted meaningful preclinical studies for any of our other product candidates. Success in preclinical testing and early-stage clinical trials does not ensure that later clinical trials will generate the same results or otherwise provide adequate data to demonstrate the efficacy and safety of a product candidate. Preclinical studies and Phase 1b clinical trials are primarily designed to test safety, to study pharmacokinetics and pharmacodynamics and to understand the side effects of product candidates at various doses and schedules. Phase 1b clinical trials also test how well a certain disease responds to a new treatment. Success in preclinical studies and earlier clinical trials does not ensure that later efficacy trials will be successful, nor does it predict final results. Our product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99745"/>
                <wp:effectExtent l="0" t="0" r="0" b="0"/>
                <wp:wrapNone/>
                <wp:docPr id="60" name="Frame47"/>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may fail to show the desired safety and efficacy in clinical development despite positive results in preclinical studies or even if they successfully advance through earlier clinical trials.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we cannot predict with any certainty if or when we might submit a Biologics License Application, or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pStyle w:val="TextBody"/>
        <w:bidi w:val="0"/>
        <w:spacing w:lineRule="auto" w:line="288" w:before="0" w:after="240"/>
        <w:ind w:left="0" w:right="0" w:firstLine="720"/>
        <w:jc w:val="both"/>
        <w:rPr/>
      </w:pPr>
      <w:r>
        <w:rPr>
          <w:rFonts w:ascii="Times New Roman;serif" w:hAnsi="Times New Roman;serif"/>
          <w:b/>
          <w:i/>
          <w:color w:val="000000"/>
          <w:sz w:val="20"/>
        </w:rPr>
        <w:t>We will need to grow the size of our organization, and we may experience difficulties in managing this growth</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our development and commercialization plans and strategies develop, we will need to expand the size of our employee and consultant/contractor base. Future growth would impose significant added responsibilities on members of management, including the need to identify, recruit, maintain, motivate and integrate additional employees. In addition, our management may have to divert a disproportionate amount of its attention away from our day-to-day activities and devote a substantial amount of time to managing these growth activities. Our future financial performance and our ability to commercialize our product candidates and any other future product candidates and our ability to compete effectively will depend, in part, on our ability to effectively manage our future growth.</w:t>
      </w:r>
    </w:p>
    <w:p>
      <w:pPr>
        <w:pStyle w:val="TextBody"/>
        <w:bidi w:val="0"/>
        <w:spacing w:lineRule="auto" w:line="288" w:before="0" w:after="240"/>
        <w:ind w:left="0" w:right="0" w:firstLine="720"/>
        <w:jc w:val="both"/>
        <w:rPr/>
      </w:pPr>
      <w:r>
        <w:rPr>
          <w:rFonts w:ascii="Times New Roman;serif" w:hAnsi="Times New Roman;serif"/>
          <w:b/>
          <w:i/>
          <w:color w:val="000000"/>
          <w:sz w:val="20"/>
        </w:rPr>
        <w:t>If we are not successful in attracting and retaining highly qualified personnel, we may not be able to successfully implement our business strategy. In addition, the loss of the services of our senior management would adversely impact our business prospects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team has expertise in many different aspects of drug development and commercialization. However, our ability to compete in the highly competitive pharmaceuticals industry depends in large part upon our ability to attract and retain highly qualified managerial, scientific and medical personnel. We will need to hire additional personnel as we further develop our product candidates. Competition for skilled personnel in our market is intense and competition for experienced scientists may limit our ability to hire and retain highly qualified personnel on acceptable terms. Despite our efforts to retain valuable employees, members of our management, scientific and medical teams may terminate their employment with us on short notice. The loss of the services of any of our executive officers or other key employees, or our inability to hire targeted executives, could potentially harm our business, operating results or financial condition. In particular, we believe that the loss of the services of our chief executive officer would have a material adverse effect on our business.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biopharmaceutical companies with which we compete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99745"/>
                <wp:effectExtent l="0" t="0" r="0" b="0"/>
                <wp:wrapNone/>
                <wp:docPr id="61" name="Frame48"/>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high-quality personnel, the rate and success at which we can develop and commercialize product candidates would be limited.</w:t>
      </w:r>
    </w:p>
    <w:p>
      <w:pPr>
        <w:pStyle w:val="TextBody"/>
        <w:bidi w:val="0"/>
        <w:spacing w:lineRule="auto" w:line="288" w:before="0" w:after="240"/>
        <w:ind w:left="0" w:right="0" w:firstLine="720"/>
        <w:jc w:val="both"/>
        <w:rPr/>
      </w:pPr>
      <w:r>
        <w:rPr>
          <w:rFonts w:ascii="Times New Roman;serif" w:hAnsi="Times New Roman;serif"/>
          <w:b/>
          <w:i/>
          <w:color w:val="000000"/>
          <w:sz w:val="20"/>
        </w:rPr>
        <w:t>We currently have no sales and marketing organization. If we are unable to establish satisfactory sales and marketing capabilities or secure a third-party sales and marketing relationship, we may not be able to successfully commercialize any of our product candidates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present, we have no sales or marketing personnel. Upon and subject to initial receipt of the requisite regulatory approvals for one or more of our drug products, we plan to build focused capabilities in the United States to commercialize our development programs focused on live biotherapeutic products and recombinant proteins for the treatment of skin diseases, where we believe the patient populations and medical specialists for the indications we are targeting are sufficiently concentrated to allow us to effectively promote our products with a targeted sales team. In other markets for which commercialization may be less capital efficient for us, we may selectively pursue strategic collaborations with third parties in order to maximize the commercial potential of our product candidates. In some cases, we may pursue the licensing of our microbial library or patent rights or enter into a joint development arrangement. If we are not successful in recruiting sales and marketing personnel and building a sales and marketing infrastructure or entering into appropriate collaboration arrangements with third parties, we will have difficulty successfully commercializing our product candidates, which would adversely affect our business, operating results and financial condition.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we enter into third-party marketing and distribution arrangements, we may have limited or no control over the sales, marketing and distribution activities of these third parties. Our future revenues may depend heavily on the success of the efforts of these third parties. In terms of establishing a sales and marketing infrastructure, we will have to compete with established and well-funded pharmaceutical and biotechnology companies to recruit, hire, train and retain sales and marketing personnel. Factors that may inhibit our efforts to build an internal sales organization or enter into collaboration arrangements with third parties include: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recruit and retain adequate numbers of effective sales and marketing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of sales personnel to obtain access to or persuade adequate numbers of physicians to prescribe any of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lack of complementary products to be offered by sales personnel, which may put us at a competitive disadvantage relative to companies with more extensive product lines;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unforeseen costs and expenses associated with creating an internal sales and marketing organization.</w:t>
      </w:r>
    </w:p>
    <w:p>
      <w:pPr>
        <w:pStyle w:val="TextBody"/>
        <w:bidi w:val="0"/>
        <w:spacing w:lineRule="auto" w:line="288" w:before="0" w:after="240"/>
        <w:ind w:left="0" w:right="0" w:firstLine="720"/>
        <w:jc w:val="both"/>
        <w:rPr/>
      </w:pPr>
      <w:r>
        <w:rPr>
          <w:rFonts w:ascii="Times New Roman;serif" w:hAnsi="Times New Roman;serif"/>
          <w:b/>
          <w:i/>
          <w:color w:val="000000"/>
          <w:sz w:val="20"/>
        </w:rPr>
        <w:t>We will be completely dependent for the foreseeable future on third parties to manufacture our product candidates for commercial sale, and the commercialization of our product candidates could be halted, delayed or made less profitable if those third parties fail to obtain manufacturing approval from the FDA or comparable foreign regulatory authorities, fail to provide us with sufficient quantities of our product candidates or fail to do so at acceptable quality levels or prices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own or operate manufacturing facilities for the commercial production of our current product candidates. We currently rely on third-party contract manufacturers for all of our required raw materials, manufacturing devices, and active pharmaceutical ingredients for our preclinical research and clinical trials. Although we are able to manufacture finished product in our Groton, Connecticut facility for our clinical trials, we will rely on third parties for the manufacture of our finished product for commercial sale. We do not have long-term agreements with any of these third parties. We also do not have any current contractual relationship for commercial supplies. We intend to enter into agreements with third-party contract manufacturers and one or more backup manufacturers for future production. We are analyzing the feasibility of building manufacturing capabilities for future development and commercial quantities of any products that we develop. Such products will need to be manufactured in facilities, and by processes, that comply with the requirements of the FDA and the regulatory agencies of other jurisdictions in which we are seeking approval. In the meantime, we will be obligated to rely on contract manufacturers for our preclinical research and clinical trials and commercial production, if and when any of our product candidates are approved for commercialization.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99745"/>
                <wp:effectExtent l="0" t="0" r="0" b="0"/>
                <wp:wrapNone/>
                <wp:docPr id="62" name="Frame49"/>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facilities used by us or any contract manufacturer to manufacture our raw materials, manufacturing devices, active pharmaceutical ingredients and finished products must be approved by the FDA or comparable foreign regulatory authorities. Such approvals are subject to inspections that will be conducted after we submit a BLA to the FDA or their equivalents to other relevant regulatory authorities. Until such time, if ever, as we establish our own manufacturing facilities, we will not control the manufacturing process of our product candidates and will be completely dependent on our contract manufacturing partners for compliance with Current Good Manufacturing Practices, or cGMPs, for manufacture of our raw materials, manufacturing devices, active pharmaceutical ingredients and finished products. These cGMP regulations cover all aspects of the manufacturing, testing, quality control, storage, distribution and record keeping relating to our product candidates. If our contract manufacturers do not successfully manufacture material that conforms to our specifications and the strict regulatory requirements of the FDA or others, we will not be able to secure or maintain regulatory approval for product made at their manufacturing facilities. If the FDA or a comparable foreign regulatory authority does not approve these facilities for the manufacture of our product candidates or if it withdraws any such approval in the future, we may need to find alternative manufacturing facilities, which could significantly delay our clinical trials and impact our ability to develop, manufacture, obtain regulatory approval for or market our product candidates, if approved. Likewise, we could be negatively impacted if any of our contract manufacturers elect to discontinue their business relationship with us.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contract manufacturers will be subject to ongoing periodic unannounced inspections by the FDA and corresponding state and foreign agencies for compliance with cGMPs and similar regulatory requirements. We will not have control over our contract manufacturers’ compliance with these regulations and standards. Failure by any of our contract manufacturers to comply with applicable regulations could result in sanctions being imposed on us, including fines, injunctions, civil penalties, failure to grant approval to market any of our product candidates, delays, suspensions or withdrawals of approvals, inability to supply product, operating restrictions and criminal prosecutions, any of which could significantly and adversely affect our business. In addition, we will not have control over the ability of our contract manufacturers to maintain adequate quality control, quality assurance and qualified personnel. Failure by our contract manufacturers to comply with or maintain any of these standards could adversely affect our ability to develop, manufacture, obtain regulatory approval for or market any of our product candidates, if approved.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for any reason, these third parties are unable or unwilling to perform we may not be able to locate alternative manufacturers or formulators or enter into favorable agreements with them and we cannot be certain that any such third parties will have the manufacturing capacity to meet future requirements. If these manufacturers or any alternate manufacturer of finished drug product experiences any significant difficulties in its respective manufacturing processes for our required raw materials, manufacturing devices, active pharmaceutical ingredients or finished product or should cease doing business with us for any reason, we could experience significant delays in our clinical trials and significant interruptions in the supply of any of our product candidates or may not be able to create a supply of our product candidates at all.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manufacturing problem or the loss of a contract manufacturer could be disruptive to our operations and result in development and clinical trial delays and lost sales. Additionally, we will rely on third parties to supply the raw materials needed to manufacture our product candidates. Any such reliance on suppliers may involve several risks, including a potential inability to obtain critical materials and reduced control over production costs, delivery schedules, reliability and quality. Any unanticipated disruption to the operation of one of our contract manufacturers caused by problems with suppliers could delay our shipment of any of our product candidates, increase our cost of goods sold and result in delays in clinical trials or lost sales.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Our business model includes the potential out-licensing of strains from our proprietary microbial library or our product candidates to other biopharmaceutical companies, however technology licensing in the biopharmaceutical industry is a lengthy process and subject to several risks and factors outside of our control, and we cannot forecast our ability to successfully out-license our technology or the length of time it takes to establish a new licensing relationship.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99745"/>
                <wp:effectExtent l="0" t="0" r="0" b="0"/>
                <wp:wrapNone/>
                <wp:docPr id="63" name="Frame50"/>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model includes the potential out-licensing or joint development of strains from our proprietary microbial library or our product candidates to other biopharmaceutical companies. Any such arrangement would typically begin with preliminary feasibility testing and evaluation by our potential partner or licensee. Assuming the feasibility testing is successful, our ability to convert the successful test into a commercial license or joint development agreement is dependent on a number of risks and factors, many of which are outside our control,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rate of adoption and incorporation of new technologies, by members of the pharmaceutical industry generally;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potential licensee’s internal evaluation of the economic benefits of marketing a dermatological product that may be competitive with other products currently in development or commercial sale by our potential partner or licensee regardless of the perceived benefits or advantages of our technology or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potential partner’s/licensee’s internal budgetary and product development issues, including their ability to commit the capital and human resources towards the development and commercialization of our technology or product;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potential partner’s/licensee’s willingness to accept our requirements for upfront fees and ongoing royalties.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believe that in many cases our potential partners or licensee may engage with us in the early-stage feasibility testing as part of their evaluation of multiple drug and drug delivery options and prior to making any decision or commitment to the development of a new drug product. Consequently, even if our platform is successful in early feasibility studies, our potential partner/licensee may decide, for reasons unrelated to the performance of our technology, not to enter into a license agreement with us. Therefore, we are unable to predict the degree to which our proposed licensing model will be successful.</w:t>
      </w:r>
    </w:p>
    <w:p>
      <w:pPr>
        <w:pStyle w:val="TextBody"/>
        <w:bidi w:val="0"/>
        <w:spacing w:lineRule="auto" w:line="288" w:before="0" w:after="240"/>
        <w:ind w:left="0" w:right="0" w:firstLine="720"/>
        <w:jc w:val="both"/>
        <w:rPr/>
      </w:pPr>
      <w:r>
        <w:rPr>
          <w:rFonts w:ascii="Times New Roman;serif" w:hAnsi="Times New Roman;serif"/>
          <w:b/>
          <w:i/>
          <w:color w:val="000000"/>
          <w:sz w:val="20"/>
        </w:rPr>
        <w:t>If product liability lawsuits are brought against us, we may incur substantial liabilities and may be required to limit commercialization of our product candidates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face a potential risk of product liability as a result of the clinical testing of our product candidates and will face an even greater risk of such liability if we commercialize any of our product candidates. For example, we may be sued if any product we develop, including any of our product candidates, or any materials that we use in our product candidates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In the U.S., claims could also be asserted against us under state consumer protection acts. If we cannot successfully defend ourselves against product liability claims, we may incur substantial liabilities or be required to limit commercialization of our product candidates. Even successful defense of these claims would require us to employ significant financial and management resources. Regardless of the merits or eventual outcome, liability claims may result in: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decreased demand for any of our product candidates or any future products that we may develop;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injury to our reputation;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obtain regulatory approval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withdrawal of participants in our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costs associated with our defense of the related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diversion of our management’s time and our resources;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substantial monetary awards to trial participants or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recalls, withdrawals or labeling, marketing or promotional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to commercialize some or all of our product candidates;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 decline in the value of our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99745"/>
                <wp:effectExtent l="0" t="0" r="0" b="0"/>
                <wp:wrapNone/>
                <wp:docPr id="64" name="Frame51"/>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we carry product liability insurance that we consider adequate for our current level of clinical testing and development. However, we will need additional product liability coverage at the time we commence commercial sale of our initial product. Our inability to obtain and retain sufficient product liability insurance at an acceptable cost to protect against potential product liability claims could prevent or inhibit the commercialization of products we develop. Although we will endeavor to obtain and maintain such insurance in coverage amounts we deem adequate, any claim that may be brought against us could result in a court judgment or settlement in an amount that is not covered, in whole or in part, by our insurance or that is in excess of the limits of our insurance coverage. Our insurance policies would also have various exclusions, and we may be subject to a product liability claim for which we have no coverage. As a result,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Our internal computer systems, or those of our collaborators or other contractors or consultants, may fail or suffer security breaches, which could result in a material disruption of our product development programs.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99745"/>
                <wp:effectExtent l="0" t="0" r="0" b="0"/>
                <wp:wrapNone/>
                <wp:docPr id="65" name="Frame52"/>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industrial espionage attacks or insider threat attacks which could result in financial, legal, business or reputational harm.</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We face significant competition from other biotechnology and pharmaceutical companies targeting medical dermatological indications, and our operating results will suffer if we fail to compete effectively.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dermatological therapies market is highly competitive and led by significant technologic developments. We anticipate that, if we are successful in obtaining regulatory approval of our candidates, we will face significant competition from other approved therapies or drugs that will become available in our industry. Even if another branded, generic, or OTC product is less effective, it may be quickly adopted by physicians and patients than our product based upon cost or convenience.</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Emerging issues related to the development and use of artificial intelligence could give rise to legal or regulatory action, damage our reputation, or otherwise materially harm our business.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artificial intelligence to analyze, predict, and help screen our library of strains for drug like molecules and continue to explore the opportunities that artificial intelligence could bring to us. Our use of artificial intelligence technologies may not be successful and may present business, compliance, and reputational risks. The use of artificial intelligence, particularly generative artificial intelligence, presents opportunities as well as risks that could negatively impact the business. Artificial intelligence technologies may be developed using inaccurate, incomplete, flawed, or biased algorithms, training methodologies, or data, which could result in competitive harm, regulatory penalties, legal liability, or brand or reputational harm. Further, a failure to timely and effectively use or deploy artificial intelligence and integrate it into new product or service offerings could negatively impact our competitiveness, particularly ahead of evolving industry trends and consumer demands. Artificial intelligence technologies are complex and rapidly evolving, and while we aim to develop and use artificial intelligence responsibly and attempt to mitigate ethical and legal issues presented by its use, we may ultimately be unsuccessful in identifying or resolving issues before they arise, and the technologies that we develop or use may ultimately be flawed. Particularly given the nascent stage of the technology, the use of artificial intelligence technologies can lead to unintended consequences, including the generation of outputs that appear correct but are factually inaccurate, misleading, or are otherwise flawed, which could harm our reputation and business and expose us to risks related to such inaccuracies or errors in these outputs.</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artificial intelligence technology is subject to rapidly evolving domestic and international laws and regulations, which could impose significant costs and obligations on us. Emerging regulations may also pertain to data privacy, data protection, and the ethical use of artificial intelligence, as well as clarifying intellectual property considerations. Our use of artificial intelligence could give rise to legal or regulatory action or increased scrutiny or liability and may damage our reputation or otherwise materially harm our business.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Risks Related to Product Regulation</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Our success is entirely dependent on our ability to obtain the marketing approval for our product candidates by the FDA and the regulatory authorities in foreign jurisdictions in which we intend to market our product candidates, of which there can be no assurance.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not permitted to market our product candidates as prescription pharmaceutical products in the United States until we receive approval of a BLA from the FDA, or in any foreign countries until we receive the requisite approval from such countries. In the United States, the FDA generally requires the completion of clinical trials of each biologic to establish its safety and efficacy and extensive pharmaceutical development to ensure its quality before a BLA is approved. Of the large number of biologics in development, only a small percentage result in the submission of a BLA to the FDA and even fewer are eventually approved for commercialization. As of the date of this report, we have not submitted a BLA to the FDA or comparable applications to other regulatory authorities for any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99745"/>
                <wp:effectExtent l="0" t="0" r="0" b="0"/>
                <wp:wrapNone/>
                <wp:docPr id="66" name="Frame53"/>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on our receipt of the regulatory approvals described above, and the issuance of such regulatory approvals is uncertain and subject to a number of risks, including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such authorities may disagree with the number, design, size, conduct or implementation of our clinical trials or any of our collaborators’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such authorities may disagree with our interpretation of data from preclinical studies or clinical trials or the use of results from studies that served as precursors to our current or future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results of toxicology studies may not support the filing of an Investigational New Drug Application, or IND, or a BLA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FDA or comparable foreign regulatory authorities or Institutional Review Boards, or IRBs, may disagree with the design or implementation of our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provide acceptable evidence of our product candidates’ safety and efficacy;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results of our clinical trials may not be satisfactory or may not meet the level of statistical or clinical significance required by the FDA, European Medicines Agency, or EMA, or other regulatory agencies for us to receive marketing approval for any of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dosing of our product candidates in a particular clinical trial may not be at an optimal level;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patients in our clinical trials may suffer adverse effects for reasons that may or may not be related to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data collected from clinical trials may not be sufficient to support the submission of a BLA or other submission or to obtain regulatory approval in the United States or elsewhere;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FDA may require development of a Risk Evaluation and Mitigation Strategy, or REMS, as a condition of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FDA or comparable foreign regulatory authorities may fail to approve the manufacturing processes or facilities of third-party manufacturers with which we contract for clinical and commercial supplies;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approval policies or regulations of the FDA or comparable foreign regulatory authorities may significantly change in a manner rendering our clinical data insufficient for approval of our product candidates.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regulatory approval policies during the development period, changes in or the enactment of additional statutes or regulations, or changes in regulatory review for a submitted product application may cause delays in the approval or rejection of an application.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approval for our product candidates for the foregoing, or any other reasons, will prevent us from commercializing our product candidates, and our ability to generate revenue will be materially impaired.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 FDA, EMA or other regulatory agencies may also approve a product candidate for fewer or more limited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The FDA, EMA or other regulatory agencies may also not accept the labeling claims that we believe would be necessary or desirable for the successful commercialization of our product candidates.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2022, the U.S. Congress enacted a new law, the Modernization of Cosmetics Regulation Act of 2022, or MOCRA. MOCRA will require a cosmetic manufacturer or importer to: ensure that it has on hand substantiation of the safety of its products and ingredients; meet increased registration, record-keeping and reporting requirements; include fragrance and allergen information on its labeling; and be prepared to meet FDA’s to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99745"/>
                <wp:effectExtent l="0" t="0" r="0" b="0"/>
                <wp:wrapNone/>
                <wp:docPr id="67" name="Frame54"/>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promulgated good manufacturing practices requirements. These additional requirements may impact budgets and timelines.</w:t>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With the change in presidential administrations in 2025, there remains substantial uncertainty as to how, if at all, the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i/>
          <w:color w:val="000000"/>
          <w:sz w:val="20"/>
        </w:rPr>
        <w:t>Our clinical trials may fail to demonstrate substantial evidence of the safety and efficacy of our product candidates or any future product candidates, which would prevent or delay or limit the scope of regulatory approval and commercialization</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model depends entirely on the successful development, regulatory approval and commercialization of our product candidates, which may never occur. All of our product candidates are in the early stages of development and as of the date of this report we have not progressed any of our product candidates, other than ATR-12 and ATR-04, beyond performance characterization and animal testing We may not be successful in obtaining approval from the FDA or comparable foreign regulatory authorities to start clinical trials for any of our other product candidates. If we do not obtain such approvals as presently planned, the time in which we expect to commence clinical programs for any product candidate will be extended and such extension will increase our expenses, delay our potential receipt of any revenues and increase our need for additional capital. Moreover, there is no guarantee that we will receive approval to commence human clinical trials or, if we do receive approval, that our clinical trials will be successful or that we will continue clinical development in support of an approval from the FDA or comparable foreign regulatory authorities for any indication. We note that most product candidates never reach the clinical development stage and even those that do commence clinical development have only a small chance of successfully completing clinical development and gaining regulatory approval. Success in early phases of preclinical and clinical trials does not ensure that later clinical trials will be successful, and interim results of a clinical trial do not necessarily predict final results. A failure of one or more of our clinical trials can occur at any stage of testing. We may experience numerous unforeseen events during, or as a result of, the clinical trial process that could delay or prevent our ability to receive regulatory approval or commercialize our product candidates. Therefore, our business currently depends entirely on the successful development, regulatory approval and commercialization of our product candidates, which may never occur.</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Results of preclinical studies of our product candidates may not be predictive of the results of future preclinical studies or clinical trials.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obtain the requisite regulatory approvals to market and sell any of our product candidates, we must demonstrate through extensive preclinical studies and clinical trials that our product candidates are safe, pure, and potent in humans. Before an IND can be submitted to the FDA and become effective, which is a prerequisite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99745"/>
                <wp:effectExtent l="0" t="0" r="0" b="0"/>
                <wp:wrapNone/>
                <wp:docPr id="68" name="Frame55"/>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conducting clinical trials on human subjects in the United States, a product candidate must successfully progress through extensive preclinical studies, which include preclinical laboratory testing, animal studies, and formulation studies in accordance with Good Laboratory Practices. Success in preclinical studies does not ensure that later preclinical studies or clinical trials will be successful. A number of companies in the biotechnology and pharmaceutical industries have suffered significant setbacks in clinical trials, even after positive results in earlier preclinical studies. These setbacks have been caused by, among other things, preclinical findings made while clinical trials were underway and safety or efficacy observations made in clinical trials, including previously unreported adverse events. The design of a clinical trial can determine whether its results will support approval of a product, and flaws in the design of a clinical trial may not become apparent until the clinical trial is well advanced. Further, we or our investigators may have little control over whether subjects comply with important aspects of clinical trial protocols. In addition, preclinical and clinical data are often susceptible to varying interpretations and analyses. Notwithstanding any potential promising results in earlier studies, we cannot be certain that we will not face similar setbacks. In addition, the results of our preclinical animal studies may not be predictive of the results of outcomes in subsequent clinical trials on human subjects. Product candidates in clinical trials may fail to show the desired pharmacological properties or safety and efficacy traits despite having progressed through preclinical studies.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fail to receive positive results in preclinical studies or clinical trials of our product candidates, the development timeline and regulatory approval and commercialization prospects for our most advanced product candidates, and, correspondingly, our business and financial prospects would be negatively impacted.</w:t>
      </w:r>
    </w:p>
    <w:p>
      <w:pPr>
        <w:pStyle w:val="TextBody"/>
        <w:bidi w:val="0"/>
        <w:spacing w:lineRule="auto" w:line="288" w:before="0" w:after="240"/>
        <w:ind w:left="0" w:right="0" w:firstLine="720"/>
        <w:jc w:val="both"/>
        <w:rPr/>
      </w:pPr>
      <w:r>
        <w:rPr>
          <w:rFonts w:ascii="Times New Roman;serif" w:hAnsi="Times New Roman;serif"/>
          <w:b/>
          <w:i/>
          <w:color w:val="000000"/>
          <w:sz w:val="20"/>
        </w:rPr>
        <w:t>Any termination or suspension of, or delays in the commencement or completion of, any necessary studies of any of our product candidates for any indications could result in increased costs to us, delay or limit our ability to generate revenue and adversely affect our commercial prospects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commencement and completion of clinical studies can be delayed for a number of reasons, including delays related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FDA or a comparable foreign regulatory authority failing to grant permission to proceed and placing the clinical study on hold;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subjects for clinical testing failing to enroll or remain enrolled in our trials at the rate we expect;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facility manufacturing any of our product candidates being ordered by the FDA or other government or regulatory authorities to temporarily or permanently shut down due to violations of cGMP requirements or other applicable requirements, or cross-contaminations of product candidates in the manufacturing process;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changes to our manufacturing process that may be necessary or desired;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subjects choosing an alternative treatment for the indications for which we are developing our product candidates, or participating in competing clinical studies;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subjects experiencing severe or unexpected drug-related adverse effects;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reports from clinical testing on similar technologies and products raising safety and/or efficacy concerns;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third-party clinical investigators losing their license or permits necessary to perform our clinical trials, not performing our clinical trials on our anticipated schedule or employing methods consistent with the clinical trial protocol, cGMP requirements, or other third parties not performing data collection and analysis in a timely or accurate manner;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inspections of clinical study sites by the FDA, comparable foreign regulatory authorities, or IRBs finding regulatory violations that require us to undertake corrective action, result in suspension or termination of one or more sites or the imposition of a clinical hold on the entire study, or that prohibit us from using some or all of the data in support of our marketing applications;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third-party contractors becoming debarred or suspended or otherwise penalized by the FDA or other government or regulatory authorities for violations of regulatory requirements, in which case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99745"/>
                <wp:effectExtent l="0" t="0" r="0" b="0"/>
                <wp:wrapNone/>
                <wp:docPr id="69" name="Frame56"/>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need to find a substitute contractor, and we may not be able to use some or any of the data produced by such contractors in support of our marketing applications;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one or more IRBs refusing to approve, suspending or terminating the study at an investigational site, precluding enrollment of additional subjects, or withdrawing its approval of the trial; reaching agreement on acceptable terms with prospective contract research organizations, or CROs, and clinical trial sites, the terms of which can be subject to extensive negotiation and may vary significantly among different CROs and trial sites;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deviations of the clinical sites from trial protocols or dropping out of a trial;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adding new clinical trial sites;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of the CRO to execute any clinical trials for any reason;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government or regulatory delays or “clinical holds” requiring suspension or termination of a trial.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Product development costs for any of our product candidates will increase if we have delays in testing or approval or if we need to perform more or larger clinical studies than planned. Additionally, changes in regulatory requirements and policies may occur and we may need to amend study protocols to reflect these changes. Amendments may require us to resubmit our study protocols to the FDA, comparable foreign regulatory authorities, and IRBs for reexamination, which may impact the costs, timing or successful completion of that study. If we experience delays in completion of, or if we, the FDA or other regulatory authorities, the IRB, or other reviewing entities, or any of our clinical study sites suspend or terminate any of our clinical studies of any of our product candidates, its commercial prospects may be materially harmed and our ability to generate product revenues will be delayed. Any delays in completing our clinical trials will increase our costs, slow down our development and approval process and jeopardize our ability to commence product sales and generate revenues. Any of these occurrences may harm our business, financial condition and prospects significantly. In addition, many of the factors that cause, or lead to, termination or suspension of, or a delay in the commencement or completion of, clinical studies may also ultimately lead to the denial of regulatory approval of our product candidates. In addition, if one or more clinical studies are delayed, our competitors may be able to bring competing products to market before we do, and the commercial viability of any of our affected product candidates could be significantly reduced.</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Even if we receive regulatory approval for any of our product candidates, we may not be able to successfully commercialize the product and the revenue that we generate from its sales, if any, may be limited.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approved for marketing, the commercial success of our product candidates will depend upon each product’s acceptance by the medical community, including physicians, patients and health care payors. The degree of market acceptance for any of our product candidates will depend on a number of factors,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demonstration of clinical safety and efficacy;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relative convenience, dosing burden and ease of administration;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prevalence and severity of any adverse effects;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willingness of physicians to prescribe our product candidates, and the target patient population to try new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efficacy of our product candidates compared to competing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introduction of any new products that may in the future become available targeting indications for which our product candidates may be approved;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procedures or therapies that may reduce the incidences of any of the indications in which our product candidates may show utility;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 and cost-effectiveness;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inclusion or omission of our product candidates in applicable therapeutic and vaccine guidelines;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effectiveness of our own or any future collaborators’ sales and marketing strategies;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limitations or warnings contained in approved labeling from regulatory authorities;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ability to obtain and maintain sufficient third-party coverage or reimbursement from government health care programs, including Medicare and Medicaid, private health insurers and other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99745"/>
                <wp:effectExtent l="0" t="0" r="0" b="0"/>
                <wp:wrapNone/>
                <wp:docPr id="70" name="Frame57"/>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payors or to receive the necessary pricing approvals from government bodies regulating the pricing and usage of therapeutics;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willingness of patients to pay out-of-pocket in the absence of third-party coverage or reimbursement or government pricing approvals.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of our product candidates are approved, but do not achieve an adequate level of acceptance by physicians, health care payors, and patients, we may not generate sufficient revenue and we may not be able to achieve or sustain profitability. Our efforts to educate the medical community and third-party payors on the benefits of our product candidates may require significant resources and may never be successful.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even if we obtain regulatory approvals, the timing or scope of any approvals may prohibit or reduce our ability to commercialize our product candidates successfully. For example, if the approval process takes too long, we may miss market opportunities and give other companies the ability to develop competing products or establish market dominance. Any regulatory approval we ultimately obtain may be limited or subject to restrictions or post-approval commitments that render our product candidates not commercially viable. For example, regulatory authorities may approve any of our product candidates for fewer or more limited indications than we request, may not approve the price we intend to charge for any of our product candidates, may grant approval contingent on the performance of costly post-marketing clinical trials, or may approve any of our product candidates with a label that does not include the labeling claims necessary or desirable for the successful commercialization of that indication. Further, the FDA or comparable foreign regulatory authorities may place conditions on approvals or require risk management plans or a Risk Evaluation and Mitigation Strategy, or REMS, to assure the safe use of the drug. Moreover, product approvals may be withdrawn for non-compliance with regulatory standards or if problems occur following the initial marketing of the product. Any of the foregoing scenarios could materially harm the commercial success of our product candidates.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Even if we obtain marketing approval for any of our product candidates, we will be subject to ongoing obligations and continued regulatory review, which may result in significant additional expense. Additionally, our product candidates could be subject to labeling and other restrictions and withdrawal from the market and we may be subject to penalties if we fail to comply with regulatory requirements or if we experience unanticipated problems with our product candidates.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we obtain regulatory approval for any of our product candidates for an indication, the FDA or foreign equivalent may still impose significant restrictions on their indicated uses or marketing or the conditions of approval, or impose ongoing requirements for potentially costly and time-consuming post-approval studies, including Phase 4 clinical trials, and post-market surveillance to monitor safety and efficacy. Our product candidates will also be subject to ongoing regulatory requirements governing the manufacturing, labeling, packaging, storage, distribution, safety surveillance, advertising, promotion, recordkeeping and reporting of adverse events and other post-market information. These requirements include registration with the FDA, as well as continued compliance with current Good Clinical Practices regulations, or cGCPs, for any clinical trials that we conduct post-approval. In addition, manufacturers of drug products and their facilities are subject to continual review and periodic inspections by the FDA and other regulatory authorities for compliance with current cGMPs, requirements relating to quality control, quality assurance and corresponding maintenance of records and documents.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FDA has the authority to require a REMS as part of a BLA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or requiring patient testing, monitoring and/or enrollment in a registry.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sales and marketing activities related to our product candidates, advertising and promotional materials must comply with FDA rules in addition to other applicable federal, state and local laws in the United States and similar legal requirements in other countries. In the United States, the distribution of product samples to physicians must comply with the requirements of the U.S. Prescription Drug Marketing Act. Application holders must obtain FDA approval for product and manufacturing changes, depending on the nature of the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99745"/>
                <wp:effectExtent l="0" t="0" r="0" b="0"/>
                <wp:wrapNone/>
                <wp:docPr id="71" name="Frame58"/>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All of these activities are also potentially subject to U.S. federal and state consumer protection and unfair competition laws. Similar requirements exist in many of these areas in other countries.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if any of our product candidates are approved for a particular indication, our product labeling, advertising and promotion would be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If we receive marketing approval for our product candidates, physicians may nevertheless legally prescribe our products to their patients in a manner that is inconsistent with the approved label. If we are found to have promoted such off-label uses, we may become subject to significant liability and government fines.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or a regulatory agency discover previously unknown problems with a product candidate, such as adverse events of unanticipated severity or frequency, problems with the facility where the product is manufactured, or we or our manufacturers fail to comply with applicable regulatory requirements, we may be subject to the following administrative or judicial sanctions: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on the marketing or manufacturing of the product, withdrawal of the product from the market, or voluntary or mandatory product recalls;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issuance of warning letters or untitled letters;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clinical holds;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injunctions or the imposition of civil or criminal penalties or monetary fines;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suspension or withdrawal of regulatory approval;</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suspension of any ongoing clinical trials;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refusal to approve pending applications or supplements to approved applications filed by us, or suspension or revocation of product license approvals;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suspension or imposition of restrictions on operations, including costly new manufacturing requirements;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occurrence of any event or penalty described above may inhibit our ability to commercialize our product candidates and generate revenue. Adverse regulatory action, whether pre- or post-approval, can also potentially lead to product liability claims and increase our product liability exposure.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cannot predict the likelihood, nature or extent of government regulation that may arise from future legislation or administrative action, either in the United States or abroad, and compliance with such regulation may be expensive and consume substantial financial and management resources. If we or any future marketing collaborators or contract manufacturers are slow or unable to adapt to changes in existing requirements or the adoption of new requirements or policies or are not able to maintain regulatory compliance, it could delay or prevent the promotion, marketing or sale of our products, which would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99745"/>
                <wp:effectExtent l="0" t="0" r="0" b="0"/>
                <wp:wrapNone/>
                <wp:docPr id="72" name="Frame59"/>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Obtaining foreign regulatory approvals and compliance with foreign regulatory requirements could result in significant delays, difficulties and costs for us and could delay or prevent the introduction of our product candidates in certain countries. If we fail to comply with the regulatory requirements in international markets and/ or to receive applicable marketing approvals, our target market will be reduced and our ability to realize the full market potential of our product candidates will be harmed.</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Even though we may apply for orphan drug designation for a product candidate, we may not be able to obtain orphan drug marketing exclusivity.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in some cases our products candidates may qualify for the FDA’s orphan drug status. There is no guarantee that the FDA will grant any future application for orphan drug designation for any of our product candidates, which would make us ineligible for the additional exclusivity and other benefits of orphan drug designation.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Orphan Drug Act, the FDA may grant orphan drug designation to a drug intended to treat a rare disease or condition, which is generally a disease or condition that affects fewer than 200,000 individuals in the United States and for which there is no reasonable expectation that the cost of developing and making a drug available in the United States for this type of disease or condition will be recovered from sales of the product. Orphan drug designation must be requested before submitting a BLA. After the FDA grants orphan drug designation, the identity of the therapeutic agent and its potential orphan use are disclosed publicly by the FDA. Orphan product designation does not convey any advantage in or shorten the duration of regulatory review and approval process. In addition to the potential period of exclusivity, orphan designation makes a company eligible for grant funding of up to $650,000 per year for four years to defray costs of clinical trial expenses, tax credits for clinical research expenses and potential exemption from the FDA application user fee.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product that has orphan designation subsequently receives the first FDA approval for the disease or condition for which it has such designation, the product is entitled to orphan drug exclusivity, which means the FDA may not approve any other applications to market the same drug for the same indication for seven years, except in limited circumstances, such as (i) the drug’s orphan designation is revoked; (ii) its marketing approval is withdrawn; (iii) the orphan exclusivity holder consents to the approval of another applicant’s product; (iv) the orphan exclusivity holder is unable to assure the availability of a sufficient quantity of drug; or (v) a showing of clinical superiority to the product with orphan exclusivity by a competitor product. If a drug designated as an orphan product receives marketing approval for an indication broader than what is designated, it may not be entitled to orphan drug exclusivity. There can be no assurance that we will receive orphan drug designation for any of our product candidates in the indications for which we think they might qualify, if we elect to seek such applications.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purposes of the rare pediatric disease program, a “rare pediatric disease” is a serious or life</w:t>
        <w:noBreakHyphen/>
        <w:t>threatening disease in which the serious or life</w:t>
        <w:noBreakHyphen/>
        <w:t xml:space="preserve">threatening manifestations primarily affect individuals aged from birth to 18 years or a rare disease or conditions within the meaning of the Orphan Drug Act. Under the FDA’s rare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499745"/>
                <wp:effectExtent l="0" t="0" r="0" b="0"/>
                <wp:wrapNone/>
                <wp:docPr id="73" name="Frame60"/>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pediatric disease priority review voucher, or RPD</w:t>
        <w:noBreakHyphen/>
        <w:t>PRV, program, upon the approval of an NDA or BLA for the treatment of a rare pediatric disease, the sponsor of such application would be eligible for an RPD</w:t>
        <w:noBreakHyphen/>
        <w:t>PRV that can be used to obtain priority review for a subsequent NDA or BLA. The sponsor of the application may transfer (including by sale) the RPD</w:t>
        <w:noBreakHyphen/>
        <w:t>PRV to another sponsor. The voucher may be further transferred any number of times before the voucher is used, as long as the sponsor making the transfer has not yet submitted the application. Congress extended the RPD</w:t>
        <w:noBreakHyphen/>
        <w:t>PRV program until December 20, 2024, and recently reauthorized the program under the Consolidated Appropriations Act of 2026, or CAA, which was signed into law on February 3, 2026. The CAA included the Naylon Give Kids a Chance Act that reauthorizes the Rare Pediatric Disease PRV program until September 30, 2029. This program has been subject to criticism, including by the FDA. As such it is possible that even if we have obtained qualification for an RPD</w:t>
        <w:noBreakHyphen/>
        <w:t>PRV, the program may no longer be in effect at the time of approval. Also, although priority review vouchers may be sold or transferred to third parties, there is no guaranty that we will be able to realize any value if we obtained, and subsequently were able to sell a priority review voucher. The RPD-PRV program is currently scheduled to sunset as of September 30, 2026, and the future of this program remains unknown at this time.</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Current and future legislation may increase the difficulty and cost for us to obtain marketing approval of and commercialize our product candidates and affect the prices we may obtain.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and some foreign jurisdictions, there have been a number of legislative and regulatory changes and proposed changes regarding the healthcare system that could prevent or delay marketing approval for our product candidates, restrict or regulate post-approval activities and affect our ability to profitably sell our product candidates. Legislative and regulatory proposals have been made to expand post-approval requirements and restrict sales and promotional activities for pharmaceutical products. We do not know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United States, the Medicare Modernization Act, or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use formularies where they can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our product candidates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Patient Protection and Affordable Care Act, as amended by the Health Care and Education Affordability Reconciliation Act of 2010 or, collectively, the ACA, is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The ACA revised the definition of “average manufacturer price” for reporting purposes, which could increase the amount of Medicaid drug rebates to states. The law also imposed a significant annual fee on companies that manufacture or import branded prescription drug products. Further,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unclear how such challenges, and the healthcare reform measures of the Biden administration will impact the ACA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99745"/>
                <wp:effectExtent l="0" t="0" r="0" b="0"/>
                <wp:wrapNone/>
                <wp:docPr id="74" name="Frame61"/>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other legislative changes have been proposed and adopted in the United States since the ACA was enacted. In 2011, the U.S. Congress enacted the Budget Control Act of 2011, or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2027 absent additional congressional action. However, pursuant to the CARES Act, and subsequent legislation, these reductions are suspended from May 1, 2020 through March 31, 2022 due to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In addition,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recently there has been heightened governmental scrutiny over the manner in which manufacturers set prices for their commercial products.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September 24, 2020, the FDA released a final rule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August 16, 2022, Congress enacted the Inflation Reduction Act of 2022 which contains several provisions relating to prescription drug costs, including requirements for federal government price negotiations, rebate requirements, and caps on out-of-pocket spending for Medicare Part D enrollees.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20, 2020, the HHS Office of Inspector General finalized further modifications to the federal Anti-Kickback Statute. Under the final rules, the HHS Office of Inspector General added safe harbor protections under the Anti-Kickback Statute for certain coordinated care and value-based arrangements among clinicians, providers, and others, yet removed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This rule (with exceptions) became effective January 19, 2021. We continue to evaluate what effect, if any, these rules will have on our business. CMS issued a final rule, effective on July 9, 2019, that requires direct-to-consumer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 list. Any adopted health reform measure could reduce the ultimate demand for our products, if approved, or put pressure on our product pricing. Individual states in the United States have also become increasingly active in passing legislation and implementing regulations designed to control pharmaceutical product pricing, including price or patient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499745"/>
                <wp:effectExtent l="0" t="0" r="0" b="0"/>
                <wp:wrapNone/>
                <wp:docPr id="75" name="Frame62"/>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current presidential administration has taken action intended to reduce the cost of prescription drugs, including drugs purchased directly by consumers. The administration issued two Executive Orders aimed at lowering drug prices through multiple directives, including directives to government agencies and officials to identify most-favored-nation pricing targets for prescription drugs (and looking to pharmaceutical manufacturers to make significant progress towards delivering target prices to patients), to facilitate DTC purchasing programs for pharmaceutical manufacturers to sell their products to patients at the most-favored-nation price, to enhance competition for high-cost prescription drugs by accelerating approval of generics and biosimilars, facilitating the process for re-classifying prescription drugs as OTC drugs, and increasing drug importation. In the wake of the Executive Orders and related executive initiatives, a number of pharmaceutical manufacturers have announced new or expanded DTC offerings with discounted prices and/or reached agreement with the federal government regarding discounted pricing for drugs, including prices for Medicaid drugs and newly launched products. TrumpRx, a website sponsored by the federal government that is anticipated to offer pharmaceutical DTC channels, has also been announced. Federal agencies are also developing and proposing new drug pricing and payment pilot programs based on international pricing metrics under Medicare Parts B and D as well as Medicaid. Other healthcare reform efforts or actions under the Trump Administration may affect access to healthcare coverage or the funding of health care benefits, although the full impact of such efforts or actions cannot be predicted.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delivery of healthcare in the European Union, or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 Both in the United States and in the EU,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 </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Third-party coverage and reimbursement and health care cost containment initiatives and treatment guidelines may constrain our future revenues.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successfully market our product candidates will depend in part on the level of reimbursement that government health administration authorities, private health coverage insurers and other organizations provide for the cost of our product candidates and related treatments. Countries in which any of our product candidates are sold through reimbursement schemes under national health insurance programs frequently require that manufacturers and sellers of pharmaceutical products obtain governmental approval of initial prices and any subsequent price increases. In certain countries, including the United States, government-funded and private medical care plans can exert significant indirect pressure on prices. We may not be able to sell our product candidates profitably if adequate prices are not approved or coverage and reimbursement is unavailable or limited in scope. Increasingly, third-party payors attempt to contain health care costs in ways that are likely to impact our development of products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failing to approve or challenging the prices charged for health care products;</w:t>
      </w:r>
    </w:p>
    <w:p>
      <w:pPr>
        <w:pStyle w:val="TextBody"/>
        <w:bidi w:val="0"/>
        <w:spacing w:lineRule="auto" w:line="288" w:before="0" w:after="2"/>
        <w:ind w:left="0" w:right="0" w:hanging="360"/>
        <w:jc w:val="left"/>
        <w:rPr/>
      </w:pPr>
      <w:r>
        <w:rPr>
          <w:color w:val="000000"/>
        </w:rPr>
        <w:t>•</w:t>
      </w:r>
      <w:r>
        <w:rPr>
          <w:rFonts w:ascii="Times New Roman;serif" w:hAnsi="Times New Roman;serif"/>
          <w:b w:val="false"/>
          <w:color w:val="000000"/>
          <w:sz w:val="20"/>
        </w:rPr>
        <w:t>introducing reimportation schemes from lower priced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99745"/>
                <wp:effectExtent l="0" t="0" r="0" b="0"/>
                <wp:wrapNone/>
                <wp:docPr id="76" name="Frame63"/>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
        <w:ind w:left="0" w:right="0" w:hanging="360"/>
        <w:jc w:val="left"/>
        <w:rPr/>
      </w:pPr>
      <w:r>
        <w:rPr>
          <w:color w:val="000000"/>
        </w:rPr>
        <w:t>•</w:t>
      </w:r>
      <w:r>
        <w:rPr>
          <w:rFonts w:ascii="Times New Roman;serif" w:hAnsi="Times New Roman;serif"/>
          <w:b w:val="false"/>
          <w:color w:val="000000"/>
          <w:sz w:val="20"/>
        </w:rPr>
        <w:t>limiting both coverage and the amount of reimbursement for new therapeutic products;</w:t>
      </w:r>
    </w:p>
    <w:p>
      <w:pPr>
        <w:pStyle w:val="TextBody"/>
        <w:bidi w:val="0"/>
        <w:spacing w:lineRule="auto" w:line="288" w:before="0" w:after="2"/>
        <w:ind w:left="0" w:right="0" w:hanging="360"/>
        <w:jc w:val="left"/>
        <w:rPr/>
      </w:pPr>
      <w:r>
        <w:rPr>
          <w:color w:val="000000"/>
        </w:rPr>
        <w:t>•</w:t>
      </w:r>
      <w:r>
        <w:rPr>
          <w:rFonts w:ascii="Times New Roman;serif" w:hAnsi="Times New Roman;serif"/>
          <w:b w:val="false"/>
          <w:color w:val="000000"/>
          <w:sz w:val="20"/>
        </w:rPr>
        <w:t>denying or limiting coverage for products that are approved by the regulatory agencies but are considered to be experimental or investigational by third-party payors;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refusing to provide coverage when an approved product is used in a way that has not received regulatory marketing approval.</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Our relationships with customers and payors are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Healthcare providers, physicians and others will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federal Anti-Kickback Statute prohibits, among other things, the knowing and willful offer, payment, solicitation or receipt of any form of remuneration in return for, or to induce, (i) the referral of a person, (ii) the furnishing or arranging for the furnishing of items or services reimbursable under the Medicare, Medicaid or other governmental programs, or (iii) the purchase, lease or order or arranging or recommending purchasing, leasing or ordering of any item or service reimbursable under the Medicare, Medicaid or other governmental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federal False Claims Act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Health Insurance Portability and Accountability Act, or HIPAA imposes criminal and civil liability for executing a scheme to defraud any health care benefit program or making false statements relating to health care matters. Similar to the federal Anti-Kickback Statute, a person or entity does not need to have actual knowledge of the statute or specific intent to violate it in order to have committed a violation;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federal false statements statute prohibits knowingly and willfully falsifying, concealing or covering up a material fact or making any materially false statement in connection with the delivery of or payment for health care benefits, items or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Physician Payments Sunshine Act, created under the ACA, and its implementing regulations, which requires specified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All such reported information is publicly available;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analogous state and non-U.S. laws and regulations, such as certain state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or otherwise restrict payments that may be made to healthcare providers and other potential referral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499745"/>
                <wp:effectExtent l="0" t="0" r="0" b="0"/>
                <wp:wrapNone/>
                <wp:docPr id="77" name="Frame64"/>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regulation by CMS and enforcement by the HHS Office of Inspector General or the U.S. Department of Justice.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it is possible that some of our future business activities could be subject to challenge under one or more of such laws.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Risks Relating to Our Intellectual Property Rights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It is difficult and costly to protect our intellectual property rights, and we cannot ensure the protection of these rights.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commercial success will depend, in part, on our ability to prosecute and defend, if necessary, our patent rights against third-party challenges and successfully enforcing these patent rights against third party competitors. The patent positions of biotech companies can be highly uncertain and involve complex legal, scientific and factual questions for which important legal principles remain unresolved. Changes in either the patent laws or in interpretations of patent laws may diminish the value of our intellectual property. Accordingly, we cannot predict the breadth of claims that may be allowable or enforceable in any patent applications filed by us or our licensors of patent rights. The patents and patent applications held by or licensed to us relating to our microbial platform and related technologies may be challenged, invalidated or circumvented by third parties and might not protect us against competitors with similar products or technologies.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the patent rights held by or licensed to us is uncertain, because legal means afford only limited protection and may not adequately protect our rights, permit us to gain or keep our competitive advantage, or provide us with any competitive advantage at all. We cannot be certain that any patent application owned by a third party will not have priority over patent applications filed by us or in which we hold license rights or that we will not be involved in interference, opposition or invalidity proceedings before United States or foreign patent offices.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if we were to initiate legal proceedings against a third party to enforce a patent covering any of our product candidates, the defendant could counterclaim that such patent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United States Patent and Trademark Office, or the USPTO, or made a misleading statement, during prosecution. Third parties may also raise similar claims before administrative bodies in the United States or abroad, even outside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99745"/>
                <wp:effectExtent l="0" t="0" r="0" b="0"/>
                <wp:wrapNone/>
                <wp:docPr id="78" name="Frame65"/>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context of litigation. Such mechanisms include re-examination, post grant review and equivalent proceedings in foreign jurisdictions, e.g., opposition proceedings. Such proceedings could result in revocation or amendment of patents held by or licensed to us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any licensor of our patent rights or the patent examiner were unaware during prosecution. If a defendant were to prevail on a legal assertion of invalidity and/or unenforceability, we would lose at least part, and perhaps all, of the patent protection on any of our product candidates. Such a loss of patent protection would have a material adverse impact on our business.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know-how and trade secrets to protect technology, especially in cases where we believe patent protection is not appropriate or obtainable. However, know-how and trade secrets are difficult to protect. While we require employees, academic collaborators, consultants and other contractors to enter into confidentiality agreements, we may not be able to adequately protect our trade secrets or other proprietary or licensed information. Typically, research collaborators and scientific advisors have rights to publish data and information in which we may have rights. Enforcing a claim that a third party illegally obtained and is using any of our trade secrets is expensive and time consuming, and the outcome is unpredictable. In addition, courts are sometimes less willing to protect trade secrets than patents. Moreover, our competitors may independently develop equivalent knowledge, methods and know-how.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fail to obtain or maintain patent protection or trade secret protection for our product candidates or our technologies, third parties could use our proprietary information, which could impair our ability to compete in the market and adversely affect our ability to generate revenues and attain profitability.</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Our product candidates may infringe the intellectual property rights of others, which could increase our costs and delay or prevent our development and commercialization efforts.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avoiding infringement of the proprietary technologies of others. The pharmaceutical industry has been characterized by frequent litigation regarding patent and other intellectual property rights. Identification of third-party patent rights that may be relevant to our proprietary technology is difficult because patent searching is imperfect due to differences in terminology among patents, incomplete databases and the difficulty in assessing the meaning of patent claims. Additionally, because patent applications are maintained in secrecy until the application is published, we may be unaware of third-party patents that may be infringed by commercialization of any of our product candidates or any future product candidate. There may be certain issued patents and patent applications claiming subject matter that we may be required to license in order to research, develop or commercialize any of our product candidates, and we do not know if such patents and patent applications would be available to license on commercially reasonable terms, or at all. Any claims of patent infringement asserted by third parties would be time-consuming and may: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result in costly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divert the time and attention of our technical personnel and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prevent us from commercializing a product until the asserted patent expires or is held finally invalid or not infringed in a court of law;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 us to cease or modify our use of the technology and/or develop non-infringing technology;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require us to enter into royalty or licensing agreements.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may hold proprietary rights that could prevent any of our product candidates from being marketed. Any patent-related legal action against us claiming damages and seeking to enjoin commercial activities relating to any of our product candidates or our processes could subject us to potential liability for damages and require us to obtain a license to continue to manufacture or market any of our product candidates or any future product candidates. We cannot predict whether we would prevail in any such actions or that any license required under any of these patents would be made available on commercially acceptable terms, if at all. In addition, we cannot be sure that we could redesign our product candidates or any future product candidates or processes to avoid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499745"/>
                <wp:effectExtent l="0" t="0" r="0" b="0"/>
                <wp:wrapNone/>
                <wp:docPr id="79" name="Frame66"/>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infringement, if necessary. Accordingly, an adverse determination in a judicial or administrative proceeding, or the failure to obtain necessary licenses, could prevent us from developing and commercializing any of our product candidates or a future product candidate, which could harm our business, financial condition and operating results.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there are other companies, including major biopharmaceutical companies, working in the areas competitive to our proposed product candidates which either has resulted, or may result, in the filing of patent applications that may be deemed related to our activities. If we were to challenge the validity of these or any issued United States patent in court, we would need to overcome a statutory presumption of validity that attaches to every issued United States patent. This means that, in order to prevail, we would have to present clear and convincing evidence as to the invalidity of the patent’s claims. If we were to challenge the validity of these or any issued United States patent in an administrative trial before the Patent Trial and Appeal Board in the USPTO, we would have to prove that the claims are unpatentable by a preponderance of the evidence. There is no assurance that a jury and/or court would find in our favor on questions of infringement, validity or enforceability. Even if we are successful, litigation could result in substantial costs and be a distraction to management.</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is commonplace in our industry, we will employ individuals who were previously employed at other biopharmaceutical companies, including our competitors or potential competitors. Although no claims against us are currently pending, we may be subject in the future to claims that our employees or prospective employees are subject to a continuing obligation to their former employers (such as non-competition or non-solicitation obligations) or claims that our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Risks Related to Owning Our Common Stock </w:t>
      </w:r>
    </w:p>
    <w:p>
      <w:pPr>
        <w:pStyle w:val="TextBody"/>
        <w:bidi w:val="0"/>
        <w:spacing w:lineRule="auto" w:line="288" w:before="0" w:after="240"/>
        <w:ind w:left="0" w:right="0" w:firstLine="720"/>
        <w:jc w:val="both"/>
        <w:rPr/>
      </w:pPr>
      <w:r>
        <w:rPr>
          <w:rFonts w:ascii="Times New Roman;serif" w:hAnsi="Times New Roman;serif"/>
          <w:b/>
          <w:i/>
          <w:color w:val="000000"/>
          <w:sz w:val="20"/>
        </w:rPr>
        <w:t>The market price of our shares may be subject to fluctuation and volatility. You could lose all or part of your investment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is subject to wide fluctuations in response to various factors, some of which are beyond our control. Since shares of our common stock were sold in our initial public offering, or IPO, in June 2023 at a price of $999.00 per share, the reported high and low sales prices of our common stock have ranged from $1,034.96 to $0.17 through February 26, 2026. The market price of our shares on the NYSE American may fluctuate as a result of a number of factors, some of which are beyond our control, including, but not limited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variations in our and our competitors’ results of operations and financial condition;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earnings estimates or recommendations by securities analysts, if our shares are covered by analysts;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acceptance of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 of technological innovations or new competitive products by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of technological innovations or new products by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publication of the results of preclinical or clinical trials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by us to achieve a publicly announced milestone;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between our expenditures to develop and market new or enhanced products and the generation of sales from those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developments concerning intellectual property rights, including our involvement in litigation brought by or against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99745"/>
                <wp:effectExtent l="0" t="0" r="0" b="0"/>
                <wp:wrapNone/>
                <wp:docPr id="80" name="Frame67"/>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developments and the decisions of regulatory authorities as to the approval or rejection of new or modified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amounts that we spend to develop, acquire or license new products, technologies or businesses;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expenditures to promote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sale or proposed sale, or the sale by our significant stockholders, of our shares or other securities in the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key personnel;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success or failure of our research and development projects or those of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trading volume of our shares;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general economic and market conditions and other factors, including factors unrelated to our operating performance.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factors and any corresponding price fluctuations may materially and adversely affect the market price of our shares and result in substantial losses being incurred by our investors. In the past, following periods of market volatility, public company stockholders have often instituted securities class action litigation. If we were involved in securities litigation, it could impose a substantial cost upon us and divert the resources and attention of our management from our business.</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Our charter limits our ability to issue shares.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charter authorizes us to issue up to 200,000,000 shares of common stock, with 10,740,697 shares of common stock, 139,922 options, and 12,235,052 warrants outstanding, as well as 1,436 shares reserved for issue under our 2016 equity plan and 181,842 shares reserved under our 2023 equity incentive plan, 176,700,851 shares of common stock remain issuable as of the date of this report, prior to the exercise of any warrants issued in our November 2025 offering and our equity line of credit. This number may decrease if we enter into any additional capital raising transactions. Additional shares may become issuable with the expiration of currently outstanding warrants or if we effect a reverse share split in the future.</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Our failure to meet the continued listing requirements of the NYSE American could result in a delisting of our common stock.</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1, 2025, we received written notification from the NYSE American that we are not in compliance with Section 1003(a)(ii) (the “Deficiency Letter”) of the NYSE American Company Guide (the “Company Guide”). The Company has submitted a plan (the “Plan”) to regain compliance to the NYSE American and on December 16, 2025, received notice that the NYSE American had accepted the Company’s Plan to regain compliance and granted a plan period through April 1, 2027 (the “Plan Period Deadline”). If the Company does not regain compliance with the NYSE American continued listing standards by the Plan Period Deadline, or if the Company does not make progress consistent with its Plan during the plan period, then the NYSE American may initiate delisting proceedings. Additionally, if we fail to satisfy the continued listing requirements of the NYSE American, including the corporate governance requirements or the minimum closing bid price requirement, the NYSE American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NYSE American’s minimum bid price requirement or prevent future non-compliance with the NYSE American’s listing requirements.</w:t>
      </w:r>
    </w:p>
    <w:p>
      <w:pPr>
        <w:pStyle w:val="TextBody"/>
        <w:bidi w:val="0"/>
        <w:spacing w:lineRule="auto" w:line="288" w:before="0" w:after="240"/>
        <w:ind w:left="0" w:right="0" w:firstLine="720"/>
        <w:jc w:val="both"/>
        <w:rPr/>
      </w:pPr>
      <w:r>
        <w:rPr>
          <w:rFonts w:ascii="Times New Roman;serif" w:hAnsi="Times New Roman;serif"/>
          <w:b/>
          <w:i/>
          <w:color w:val="000000"/>
          <w:sz w:val="20"/>
        </w:rPr>
        <w:t>Future capital raises may dilute your ownership and/or have other adverse effects on our operations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we raise additional capital by issuing equity securities, our existing stockholders’ percentage ownership will be reduced and these stockholders may experience substantial dilution. If we raise additional funds by issuing debt securities, these debt securities would have rights senior to those of our common stock and the terms of the debt securities issued could impose significant restrictions on our operations, including liens on our assets. If we raise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499745"/>
                <wp:effectExtent l="0" t="0" r="0" b="0"/>
                <wp:wrapNone/>
                <wp:docPr id="81" name="Frame68"/>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additional funds through collaborations and licensing arrangements, we may be required to relinquish some rights to our intellectual property or candidate products, or to grant licenses on terms that are not favorable to us.</w:t>
      </w:r>
    </w:p>
    <w:p>
      <w:pPr>
        <w:pStyle w:val="TextBody"/>
        <w:bidi w:val="0"/>
        <w:spacing w:lineRule="auto" w:line="288" w:before="0" w:after="240"/>
        <w:ind w:left="0" w:right="0" w:firstLine="720"/>
        <w:jc w:val="both"/>
        <w:rPr/>
      </w:pPr>
      <w:r>
        <w:rPr>
          <w:rFonts w:ascii="Times New Roman;serif" w:hAnsi="Times New Roman;serif"/>
          <w:b/>
          <w:i/>
          <w:color w:val="000000"/>
          <w:sz w:val="20"/>
        </w:rPr>
        <w:t>Shares eligible for future sale may adversely affect the market for our common stock</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we have 16,192,438 shares of common stock issued and outstanding, all of which are eligible for sale by means of ordinary brokerage transactions in the open market pursuant to Rule 144, promulgated under the Securities Act, subject to certain limitations under Rule 144. Any substantial sale of our common stock pursuant to Rule 144 or pursuant to any resale report may have a material adverse effect on the market price of our common stock.</w:t>
      </w:r>
    </w:p>
    <w:p>
      <w:pPr>
        <w:pStyle w:val="TextBody"/>
        <w:bidi w:val="0"/>
        <w:spacing w:lineRule="auto" w:line="288" w:before="0" w:after="240"/>
        <w:ind w:left="0" w:right="0" w:firstLine="720"/>
        <w:jc w:val="both"/>
        <w:rPr/>
      </w:pPr>
      <w:r>
        <w:rPr>
          <w:rFonts w:ascii="Times New Roman;serif" w:hAnsi="Times New Roman;serif"/>
          <w:b/>
          <w:i/>
          <w:color w:val="000000"/>
          <w:sz w:val="20"/>
        </w:rPr>
        <w:t>We are an “emerging growth company” under the JOBS Act and we cannot be certain if the reduced disclosure requirements applicable to emerging growth companies will make our common stock less attractive to investors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and we may take advantage of certain exemptions from various reporting requirements that are applicable to other public companies that are not “emerging growth companies” including, but not limited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 being required to comply with the auditor attestation requirements of Section 404 of the Sarbanes-Oxley Act;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reduced disclosure obligations regarding executive compensation in our periodic reports and proxy statements;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exemptions from the requirements of holding a nonbinding advisory vote on executive compensation and stockholder approval of any golden parachute payments;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extended transition periods available for complying with new or revised accounting standards.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chosen to take advantage of all of the benefits available under the JOBS Act, including the exemptions discussed above.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for up to five years, although we will lose that status sooner if our revenues exceed $1.235 billion, if we issue more than $1 billion in non-convertible debt in a three-year period, or if the market value of our common stock that is held by non-affiliates exceeds $700 million as of June 30 in any future year.</w:t>
      </w:r>
    </w:p>
    <w:p>
      <w:pPr>
        <w:pStyle w:val="TextBody"/>
        <w:bidi w:val="0"/>
        <w:spacing w:lineRule="auto" w:line="288" w:before="0" w:after="240"/>
        <w:ind w:left="0" w:right="0" w:firstLine="720"/>
        <w:jc w:val="both"/>
        <w:rPr/>
      </w:pPr>
      <w:r>
        <w:rPr>
          <w:rFonts w:ascii="Times New Roman;serif" w:hAnsi="Times New Roman;serif"/>
          <w:b/>
          <w:i/>
          <w:color w:val="000000"/>
          <w:sz w:val="20"/>
        </w:rPr>
        <w:t>Our status as an “emerging growth company” under the JOBS Act may make it more difficult to raise capital as and when we need it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the exemptions from various reporting requirements provided to us as an “emerging growth company,” we may be less attractive to investors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pStyle w:val="TextBody"/>
        <w:bidi w:val="0"/>
        <w:spacing w:lineRule="auto" w:line="288" w:before="0" w:after="240"/>
        <w:ind w:left="0" w:right="0" w:firstLine="720"/>
        <w:jc w:val="both"/>
        <w:rPr/>
      </w:pPr>
      <w:r>
        <w:rPr>
          <w:rFonts w:ascii="Times New Roman;serif" w:hAnsi="Times New Roman;serif"/>
          <w:b/>
          <w:i/>
          <w:color w:val="000000"/>
          <w:sz w:val="20"/>
        </w:rPr>
        <w:t>We have not paid dividends on our common stock in the past and have no immediate plans to pay such dividends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reinvest all of our earnings, to the extent we have earnings, to cover operating costs and otherwise become and remain competitive. We do not plan to pay any cash dividends with respect to our common stock in the foreseeable future. We cannot assure you that we would, at any time, generate sufficient surplus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99745"/>
                <wp:effectExtent l="0" t="0" r="0" b="0"/>
                <wp:wrapNone/>
                <wp:docPr id="82" name="Frame69"/>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that would be available for distribution to the holders of our common stock as a dividend. Therefore, you should not expect to receive cash dividends on our common stock.</w:t>
      </w:r>
    </w:p>
    <w:p>
      <w:pPr>
        <w:pStyle w:val="TextBody"/>
        <w:bidi w:val="0"/>
        <w:spacing w:lineRule="auto" w:line="288" w:before="0" w:after="240"/>
        <w:ind w:left="0" w:right="0" w:firstLine="720"/>
        <w:jc w:val="both"/>
        <w:rPr/>
      </w:pPr>
      <w:r>
        <w:rPr>
          <w:rFonts w:ascii="Times New Roman;serif" w:hAnsi="Times New Roman;serif"/>
          <w:b/>
          <w:i/>
          <w:color w:val="000000"/>
          <w:sz w:val="20"/>
        </w:rPr>
        <w:t>If equity research analysts do not publish research or reports about our business or if they issue unfavorable commentary or downgrade our shares, the price of our shares could decline</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shares will rely in part on the research and reports that equity research analysts publish about us and our business, if at all. We do not have control over these analysts and we do not have commitments from them to write research reports about us. The price of our shares could decline if no research reports are published about us or our business, or if one or more equity research analysts downgrades our shares or if those analysts issue other unfavorable commentary or cease publishing reports about us or our business.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We may be at an increased risk of securities class action litigation.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We maintain director and officer insurance that we regard as reasonably adequate to protect us from potential claims; however, we are responsible for meeting certain deductibles under the policies and, in any event, we cannot assure you that the insurance coverage will adequately protect us from claims made. Further, the costs of insurance may increase and the availability of coverage may decrease. As a result, we may not be able to maintain our current levels of insurance at a reasonable cost, or at all.</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Our charter documents and Delaware law may inhibit a takeover that stockholders consider favorable.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Provisions of our amended and restated certificate of incorporation and amended and restated bylaws and applicable provisions of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amended and restated certificate of incorporation and amended and restated bylaws: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 who may call stockholder meetings;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 our stockholders from bringing matters before our annual meeting of stockholders or from making nominations for directors at our annual meeting of stockholders if the proper procedures are not followed;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do not provide for stockholder action by written consent;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do not provide for cumulative voting rights;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provide that all board vacancies may be filled by the affirmative vote of a majority of directors then in office, even if less than a quorum.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203 of the DGCL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pStyle w:val="TextBody"/>
        <w:bidi w:val="0"/>
        <w:spacing w:lineRule="auto" w:line="288" w:before="0" w:after="240"/>
        <w:jc w:val="center"/>
        <w:rPr/>
      </w:pPr>
      <w:r>
        <w:rPr>
          <w:rFonts w:ascii="Times New Roman;serif" w:hAnsi="Times New Roman;serif"/>
          <w:b/>
          <w:color w:val="000000"/>
          <w:sz w:val="20"/>
        </w:rPr>
        <w:t>General Risk Factors</w:t>
      </w:r>
      <w:r>
        <w:rPr>
          <w:color w:val="000000"/>
        </w:rPr>
        <w:t xml:space="preserve"> </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Changes in accounting standards and subjective assumptions, estimates and judgments by management related to complex accounting matters may materially impact reporting of our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499745"/>
                <wp:effectExtent l="0" t="0" r="0" b="0"/>
                <wp:wrapNone/>
                <wp:docPr id="83" name="Frame70"/>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 and related accounting pronouncements, implementation guidelines, and interpretations we apply to a wide range of matters that are relevant to our business, such as accounting for long-lived asset impairment and share-based compensation, are complex and involve subjective assumptions, estimates and judgments by our management. Changes in these rules or their interpretation or changes in underlying assumptions, estimates or judgments by our management could significantly change or add significant volatility to our reported or expected financial performance.</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A potential failure to maintain effective internal control over financial reporting in accordance with Section 404 of the Sarbanes-Oxley Act could have a material adverse effect on our business, financial condition, and results of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or GAAP. Under standards established by the Public Company Accounting Oversight Board, or PCAOB, a deficiency in internal control over financial reporting exists when the design or operation of a control does not allow management or personnel, in the normal course of performing their assigned functions, to prevent or detect misstatements on a timely basis. The PCAOB defines a material weakness as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required, pursuant to Section 404 of the Sarbanes-Oxley Act, to furnish a report by management on, among other things, the effectiveness of our internal control over financial reporting for our second annual report on Form 10-K filed with the SEC and in each year thereafter. Our auditors will also need to attest to the effectiveness of our internal control over financial reporting at such time as we are an accelerated filed or large accelerated filer and no longer an emerging growth company or smaller reporting company.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the stock exchange on which our common stock are listed, the SEC or other regulatory authorities, which could require additional financial and management resources and could have a material adverse effect on our business, financial condition, and results of operations.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The limited amount of public company experience of our management team could adversely impact our ability to comply with the reporting requirements of U.S. securities laws, which could have a materially adverse effect on our business.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officers have limited public company experience, which could impair our ability to comply with legal and regulatory requirements such as those imposed by Sarbanes-Oxley Act. Such responsibilities include complying with federal securities laws and making required disclosures on a timely basis. Any such deficiencies, weaknesses or lack of compliance could have a materially adverse effect on our ability to comply with the reporting requirements of the Securities Exchange Act of 1934, or the Exchange Act, which is necessary to maintain our public company status. If we were to fail to fulfill those obligations, our ability to continue as a U.S. public company would be in jeopardy in which event you could lose your entire investment in our Company.</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control over financial reporting, our ability to accurately and timely report our financial results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99745"/>
                <wp:effectExtent l="0" t="0" r="0" b="0"/>
                <wp:wrapNone/>
                <wp:docPr id="84" name="Frame71"/>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required, may reveal deficiencies in our internal controls over financial reporting that are deemed to be material weaknesses or that may require prospective or retrospective changes to our financial statements or identify other areas for further attention or improvement. Inferior internal controls could also cause investors to lose confidence in our reported financial information, which could have a negative effect on the trading price of our shares of common stock. There is also a risk that neither we nor our independent registered public accounting firm (when applicable in the future) will be able to conclude within the prescribed timeframe that internal controls over financial reporting is effective as required by Section 404. As a result, investors could lose confidence in our financial and other public reporting, which would harm our business and the trading price of our common stock.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preparation of our financial statements included in this report, we and our independent registered public accounting firm identified a material weakness as it relates to a lack of adequate segregation of accounting functions. We are in the process of implementing measures designed to improve our internal control over financial reporting and remediate this material weakness. We intend to increase staffing within our accounting infrastructure, and implement additional review controls sufficient to facilitate proper segregation of accounting functions.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identify future material weaknesses in our internal controls over financial reporting or fail to meet the demands that will be placed upon us as a public company, including the requirements of the Sarbanes-Oxley, and we may be unable to accurately report our financial results, or report them within the timeframes required by law or stock exchange regulations. We cannot assure that our existing material weakness will be remediated or that additional material weaknesses will not exist or otherwise be discovered, any of which could adversely affect our reputation, financial condition and results of operations.</w:t>
      </w:r>
    </w:p>
    <w:p>
      <w:pPr>
        <w:pStyle w:val="TextBody"/>
        <w:bidi w:val="0"/>
        <w:spacing w:lineRule="auto" w:line="288" w:before="0" w:after="240"/>
        <w:ind w:left="0" w:right="0" w:firstLine="720"/>
        <w:jc w:val="both"/>
        <w:rPr/>
      </w:pPr>
      <w:r>
        <w:rPr>
          <w:rFonts w:ascii="Times New Roman;serif" w:hAnsi="Times New Roman;serif"/>
          <w:b/>
          <w:i/>
          <w:color w:val="000000"/>
          <w:sz w:val="20"/>
        </w:rPr>
        <w:t>We have and will continue to incur significant increased costs as a result of being a public company that reports to the SEC and our management will be required to devote substantial time to meet compliance obligations</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public company reporting to the SEC, we will continue to incur significant legal, accounting and other expenses that we did not incur as a private company. We are subject to reporting requirements of the Exchange Act and the reporting and governance provisions of the Sarbanes-Oxley Act and the Dodd-Frank Wall Street Reform and Protection Act, as well as rules subsequently implemented by the SEC, that impose significant requirements on public companies, including requiring establishment and maintenance of effective disclosure and financial controls and changes in corporate governance practices. There are significant corporate governance and reporting provisions in these laws that will increase our legal and financial compliance costs, make some activities more difficult, time-consuming or costly and may also place undue strain on our personnel, systems and resources. Our management and other personnel will need to devote a substantial amount of time to these regulations. In addition, we expect these rules and regulations to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our Board committees or as executive officers.</w:t>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Unfavorable geopolitical and macroeconomic developments could adversely affect our business, financial condition or results of operations.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could be adversely affected by conditions in the U.S. and global economies, the United States and global financial markets and adverse geopolitical and macroeconomic developments, including rising inflation rates, the continuing adverse impacts of the COVID-19 pandemic, the Ukrainian/Russian and Israeli/Palestinian conflicts and related sanctions, bank failures, and economic uncertainties related to these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499745"/>
                <wp:effectExtent l="0" t="0" r="0" b="0"/>
                <wp:wrapNone/>
                <wp:docPr id="85" name="Frame72"/>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response to rising inflation, the U.S. Federal Reserve has raised, and may again raise, interest rates, which, coupled with reduced government spending and volatility in financial markets, may have the effect of further increasing economic uncertainty and heightening these risks.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financial markets around the world experienced volatility following the invasion of Ukraine by Russia in February 2022 and the eruption of the Israeli/Palestinian conflict in October 2023, including as a result of economic sanctions and export controls against Russia and countermeasures taken by Russia. The full economic and social impact of these sanctions and countermeasures, in addition to the ongoing military conflicts in Ukraine and Gaza, which could conceivably expand, remains uncertain; however, both the conflicts and related sanctions have resulted and could continue to result in disruptions to trade, commerce, pricing stability, credit availability, and/or supply chain continuity, in both Europe and globally, and has introduced significant uncertainty into global markets. While we do not currently operate in Russia, Ukraine or the Middle East, as the adverse effects of these conflicts continue to develop our business and results of operations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Risk Management and Strategy</w:t>
      </w:r>
      <w:r>
        <w:rPr>
          <w:rFonts w:ascii="Times New Roman;serif" w:hAnsi="Times New Roman;serif"/>
          <w:b w:val="false"/>
          <w:color w:val="000000"/>
          <w:sz w:val="20"/>
        </w:rPr>
        <w:t>. We employ processes for assessing, identifying, and managing material risks from cybersecurity threats. In conjunction with EBM, Inc., we employ best in class Endpoint Detection and Response with 24/7 SOC at the Endpoints. We also utilize MFA and Geolocation enforcement where available. We continuously monitor and maintain our network infrastructure including consistent vulnerability monitoring and remediation. We also engage in quarterly phishing campaigns as well as cybersecurity awareness training to our end users to keep them vigilant in being able to detect threats.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Although we develop and maintain systems and controls designed to prevent cybersecurity threats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service providers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we are not aware of any risks from cybersecurity threats, including as a result of any previous cybersecurity incidents, that have materially affected or are reasonably likely to materially affect us, including our business strategy, results of operations, or financial condition.</w:t>
      </w:r>
    </w:p>
    <w:p>
      <w:pPr>
        <w:pStyle w:val="TextBody"/>
        <w:bidi w:val="0"/>
        <w:spacing w:lineRule="auto" w:line="288" w:before="0" w:after="240"/>
        <w:ind w:left="0" w:right="0" w:firstLine="720"/>
        <w:jc w:val="both"/>
        <w:rPr/>
      </w:pPr>
      <w:r>
        <w:rPr>
          <w:rFonts w:ascii="Times New Roman;serif" w:hAnsi="Times New Roman;serif"/>
          <w:b w:val="false"/>
          <w:i/>
          <w:color w:val="000000"/>
          <w:sz w:val="20"/>
        </w:rPr>
        <w:t>Governance</w:t>
      </w:r>
      <w:r>
        <w:rPr>
          <w:rFonts w:ascii="Times New Roman;serif" w:hAnsi="Times New Roman;serif"/>
          <w:b w:val="false"/>
          <w:color w:val="000000"/>
          <w:sz w:val="20"/>
        </w:rPr>
        <w:t>. Our senior management team conducts the regular assessment and management of material risks from cybersecurity threats, including review with our IT team and third-party service providers. All employees and consultants are directed to report to our senior management any irregular or suspicious activity that could indicate a cybersecurity threat or incident. The Audit Committee of our Board of Directors evaluates our cybersecurity assessment and management policies, including quarterly interviews with our senior officers and independent registered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99745"/>
                <wp:effectExtent l="0" t="0" r="0" b="0"/>
                <wp:wrapNone/>
                <wp:docPr id="86" name="Frame73"/>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executive offices are located in approximately 12,030 square feet of leased office and laboratory space at 21 Business Park Drive, Branford, Connecticut 06405. The lease expires in 2027, subject to our option to extend the lease for two additional five-year terms. We currently pay $14,745 per month under the lease, and are currently renegotiating the lease terms.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lease approximately 1,093 square feet of additional laboratory space, which is located at 93 Shennecossett Road, Groton, Connecticut 06340. The lease expires in April 2026, with the option to extend the lease for an additional two one-year terms. We pay $7,235 per month under the lease plus our pro rata share of certain operating expenses of the property, and are currently renegotiating the lease terms.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lease approximately 1,868 square feet of office and laboratory space, which is located at 500 Cartier Boulevard, Laval, Quebec, Canada. We pay $6,882 per month under the lease. The lease expires in April 2026, subject to our option to extend the lease for an additional one-year term.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our facilities are adequate to meet our current needs and that additional space can be obtained on commercially reasonable terms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there are no legal proceedings to which we or our properties are subject. We may be involved, from time to time, in legal proceedings and claims arising in the ordinary course of its business. Such matters are subject to many uncertainties and outcomes and are not predictable with assurance.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center"/>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Repurchases of Equity Securities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NYSE American Stock Exchange under the symbol “AZTR.”</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26, 2026, there were 35 holders of record of our common stock (including Cede &amp; Co.). The actual number of stockholders is greater than this number of holders of record and includes stockholders who are beneficial owners but whose shares are held in “street name” by brokerage firms, banks and other financial institutions or nominees.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common stock. We presently intend to retain earnings to finance the operation and expansion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499745"/>
                <wp:effectExtent l="0" t="0" r="0" b="0"/>
                <wp:wrapNone/>
                <wp:docPr id="87" name="Frame74"/>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 is made to the information contained in Item 12 of this Annual Report.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other unregistered sales of equity securities during the year ended December 31, 2025, which have not been previously disclosed on a Current Report on Form 8-K.</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In certain instances we provide our employees with the option to withhold shares to satisfy tax withholding amounts due from the employees upon the vesting of restricted stock units and stock options in connection with our 2016 Stock Incentive Plan and 2023 Stock Incentive Plan. There were no shares withheld during the quarter ended December 31, 2025 at the direction of the employees as permitted under either the 2016 Stock Incentive Plan or the 2023 Stock Incentive Plan, in order to pay the minimum amount of tax liability owed by the employee from the vesting of those units and options.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99745"/>
                <wp:effectExtent l="0" t="0" r="0" b="0"/>
                <wp:wrapNone/>
                <wp:docPr id="88" name="Frame75"/>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Cautionary Statement</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should be read in conjunction with our financial statements and the related notes thereto contained elsewhere in this report. The information contained in this Annual Report on Form 10-K is not a complete description of our business or the risks associated with an investment in our common stock. We urge you to carefully review and consider the various disclosures made by us in this report and in our other filings with the Securities and Exchange Commission, or SEC, including the “Risk Factors” section in this report.</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this report we make statements, and from time to time we otherwise make written and oral statements regarding our business and prospects, such as projections of future performance, statements of management’s plans and objectives, forecasts of market trends, and other matters that are forward-looking statements within the meaning of Section 27A of the Securities Act of 1933 and Section 21E of the Securities Exchange Act of 1934. Statements containing the words or phrases “will likely result,” “are expected to,” “will continue,” “is anticipated,” “estimates,” “projects,” “believes,” “expects,” “anticipates,” “intends,” “target,” “goal,” “plans,” “objective,” “should” or similar expressions identify forward-looking statements, which may appear in our documents, reports, filings with the SEC, and news releases, and in written or oral presentations made by officers or other representatives to analysts, stockholders, investors, news organizations and others, and in discussions with management and other of our representatives.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results, including results related to forward-looking statements, involve a number of risks and uncertainties, including those risks included in the “Risk Factors” section in this report. No assurance can be given that the results reflected in any forward-looking statements will be achieved. Any forward-looking statement speaks only as of the date on which such statement is made. Our forward-looking statements are based upon assumptions that are sometimes based upon estimates, data, communications and other information from suppliers, government agencies and other sources that may be subject to revision. Except as required by law, we do not undertake any obligation to update or keep current either (i) any forward-looking statement to reflect events or circumstances arising after the date of such statement or (ii) the important factors that could cause our future results to differ materially from historical results or trends, results anticipated or planned by us, or which are reflected from time to time in any forward-looking statement.</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were formed in January 2014 as a biopharmaceutical company focused on developing innovative therapies for precision dermatology using engineered proteins and live biotherapeutic products. We are an early-stage clinical biopharmaceutical company and have not commenced commercial operations.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date, we have capitalized our operations primarily through a series of private placements of our convertible preferred stock and convertible promissory notes and our initial public offering, IPO, of common stock which closed on June 21, 2023. In connection with our IPO, we issued 7,508 shares of our common stock at a public offering price of $999 per share. Concurrent with the close of our IPO, all of our outstanding shares of convertible preferred stock and convertible promissory notes converted into a total of 44,802 shares of our common stock. In February 2024, we completed a follow-on public offering in which we issued and sold 83,404 shares of our common stock at a price to the public of $59.94 per share. On July 25, 2024, we completed a follow-on offering of an aggregate of 1,000,750 shares of our common stock, and Class A warrants to purchase up to 2,001,502 shares of common stock, at a combined public offering price of $9.99 per share and accompanying warrants. On January 16, 2025, we completed a follow-on offering in which we issued and sold 729,381 shares of our common stock at a price of $2.00 per share. The net proceeds received by us from the follow-on offering were $1.2 million, after deducting placement agent's fees and other offering expenses. The shares were offered by us pursuant to a shelf registration statement on Form S-3 filed with the SEC on July 1, 2024, and a final prospectus supplement dated January 15, 2025. On February 5, 2025, we completed a follow-on offering in which we issued 374,696 shares of our common stock at a public offering price of $1.85 per share and warrants to purchase up to 337,232 shares of common stock. The net proceeds received by the Company from the follow-on offering were approximately $561,000 after deducting placement agent's fees and other offering expenses. The shares were offered by us pursuant to a shelf registration statement on Form S-3 filed with the SEC on July 1, 2024, and a final prospectus supplement dated February 4, 2025. The warrants became exercisable on the six-month and one day anniversary of their issuance, and their exercise price is $3.60. </w:t>
      </w:r>
    </w:p>
    <w:p>
      <w:pPr>
        <w:pStyle w:val="TextBody"/>
        <w:bidi w:val="0"/>
        <w:spacing w:lineRule="auto" w:line="300"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24, 2025, the Company entered into a Purchase Agreement (the "ELOC Purchase Agreement") with Alumni Capital LP (the "Purchaser" or "Alumni Capital"), whereby the Company has the right, but not the obligation, to sell to the Purchaser, and the Purchaser is obligated to purchase, up to an aggregate of $20 million (the "Investment Amount") of shares of the Company’s common stock in a series of purchases (the “ELOC Shares”). The term of the ELOC Purchase Agreement is through December 31, 2026, or the date on which the Purchaser shall have purchased the shares pursuant to the ELOC Purchase Agreement for an aggregate purchase price of the Investment Amount. During the term, the Company may at its election cause the Purchaser to make a series of purchases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499745"/>
                <wp:effectExtent l="0" t="0" r="0" b="0"/>
                <wp:wrapNone/>
                <wp:docPr id="89" name="Frame76"/>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of shares, each up to $750,000, or up to $4 million dollars upon consent of the Purchaser. The closing of each purchase pursuant to the ELOC Purchase Agreement will be no later than five business days after the Company provides a notice to for the purchase. The purchase price of the ELOC Shares that the Company elects to sell to the Purchaser pursuant to the ELOC Purchase Agreement will be equal to the lowest daily volume weighted average price of the common stock during the period commencing on the date that the Company delivers a notice requiring the purchase of shares by the Purchaser and ending on the earlier to occur of (i) five (5) business days immediately following such date and (ii) the date on which the Purchaser notifies the Company that it is prepared to proceed with the relevant closing, multiplied by 90%. Upon each purchase, the Purchaser will receive warrants to purchase such number of shares of the Company’s common stock equal to 10% of the number of ELOC Shares purchased in the related purchase (the “ELOC Warrants”). The Exercise Price shall equal 130% of the price per ELOC Share paid upon closing. The exercise of the ELOC Warrant will be subject to stockholder approval and expire five years after issuance. The ELOC Warrants may be exercised via cashless exercise if there is no effective registration statement, or current prospectus available for, the resale of the ELOC Warrant Shares. The ELOC Shares and ELOC Warrants have been registered under the Registration Statements on Form S-1 (File Nos. 333-286809 and 333-292049). The Company could not issue to the Purchaser under the Purchase Agreement shares in an amount greater than 19.99% of the total number of shares of common stock issued and outstanding immediately prior to the execution of the ELOC Purchase Agreement (the “Exchange Cap”), unless the Company obtained stockholder approval to issue shares of common stock in excess of the Exchange Cap. On June 23, 2025, at the Company's annual meeting of stockholders, the stockholders approved the sale and issuance of more than 19.99% of our outstanding shares of our common stock, including shares of common stock underlying warrants, pursuant to the Purchase Agreement entered into with the Purchaser.</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26, 2025, the Company entered into a Modification Agreement (the “Modification Agreement”) with Alumni Capital to amend certain terms of the ELOC Purchase Agreement. Pursuant to the Modification Agreement, the Company may at its election, cause Alumni Capital to make a series of purchases of ELOC Shares either at (i) the lowest daily volume weighted average price of the common stock during the period commencing on the date that the Company delivers written notice (the “Purchase Notice”) and ending on the earlier of (a) five (5) business days immediately following the date of a Purchase Notice, and (b) the date on which Alumni Capital notifies the Company that it is prepared to proceed with the closing of the purchase, multiplied by 90% (“Purchase Notice Option 1”) or (ii) the lowest traded price of common stock during the period commencing on the date the Company delivers a Purchase Notice and ending on the earlier of (x) the same business day a Purchase Notice is delivered, and (y) the date on which Alumni Capital notifies the Company that it is prepared to proceed with the closing of the purchase, multiplied by 97% (“Purchase Notice Option 2”). Each Purchase Notice delivered by the Company must specify whether Purchase Notice Option 1 or Purchase Notice Option 2 is selected and the number of ELOC Shares to be purchased. All other terms and conditions of the ELOC Purchase Agreement remain in full force and effect. Refer to Note 7 regarding the terms of the ELOC Warrants issued in conjunction with the ELOC Shares.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24, 2025, the Company entered into a securities purchase agreement (the “November Purchase Agreement”) with a single institutional investor (the “November Purchaser”) pursuant to which the Company agreed to issue and sell to the November Purchaser in a private placement offering priced at a premium to market in accordance with NYSE rules (the “November Offering”) an aggregate of 535,759 shares (the “November Shares”) of common stock of the Company, (ii) pre-funded warrants (the “November Pre-Funded Warrants”) to purchase up to an aggregate of 4,151,741 shares of common stock (the “November Pre-Funded Warrant Shares”) at an exercise price of $0.0001 per November Pre-Funded Warrant, and (iii) common stock purchase warrants (the “November Common Warrants” together with the November Pre-Funded Warrants, the “November Warrants”) to purchase up to an aggregate of 4,687,500 shares of common stock (the “November Common Warrant Shares” together with the November Pre-Funded Warrant Shares, the “November Warrant Shares”) at an exercise price of $0.32 per November Common Warrant. The offering price was $0.32 per share of common stock or November Pre-Funded Warrant and accompanying November Common Warrant (the “November Offering Price”). The November Pre-Funded Warrants were immediately exercisable and do not expire until exercised in full. The November Common Warrants are exercisable upon shareholder approval and will expire on the five-year anniversary of shareholder approval.</w:t>
      </w:r>
    </w:p>
    <w:p>
      <w:pPr>
        <w:pStyle w:val="TextBody"/>
        <w:bidi w:val="0"/>
        <w:spacing w:lineRule="auto" w:line="300"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November Share, November Warrants, and November Warrant Shares are being offered in reliance upon the exemption from the registration requirement of the Securities Act, pursuant to Section 4(a)(2) thereof and/or Rule 506(b) of Regulation D promulgated thereunder, and applicable state securities laws. The issuance of the November Common Stock, November Warrants, and November Warrant Shares initially were not registered under the Securities Act and such securities could not be offered or sold in the United States absent registration or an exemption from registration under the Securities Act and any applicable state securities laws. On December 10, 2025, the Company filed a Registration Statement on Form S-1 (File No. 333-292049) registering, among other shares of common stock, the November Shares and the shares underlying the November Pre-Funded Warrants and November Common Warrants, which the SEC declared effective on December 15, 2025. </w:t>
      </w:r>
    </w:p>
    <w:p>
      <w:pPr>
        <w:pStyle w:val="TextBody"/>
        <w:bidi w:val="0"/>
        <w:spacing w:lineRule="auto" w:line="300"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gross proceeds from the November Offering before deducting expenses were approximately $1.5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99745"/>
                <wp:effectExtent l="0" t="0" r="0" b="0"/>
                <wp:wrapNone/>
                <wp:docPr id="90" name="Frame77"/>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November Purchase Agreement contains customary representations and warranties of the Company, customary conditions to closing, and termination provisions. Pursuant to the terms of the November Purchase Agreement, for 60 days from the closing of the November Purchase Agreement, subject to certain exceptions, the Company may not issue, enter into any agreement to issue or announce the issuance or proposed issuance of any shares of common stock or common stock equivalents, or file any registration statement or any amendment or supplement thereto. Additionally, from the date of the November Purchase Agreement until February 26, 2027, upon any issuance by the Company of common stock or common stock equivalents for cash consideration, debt, or a combination of thereof (a “Subsequent Financing”), the Purchaser shall have the right to participate up to an amount of the Subsequent Financing equal to an aggregate of 25% of the Subsequent Financing. The representations and warranties of each party set forth in the November Purchase Agreement have been made solely for the benefit of the other party to the November Purchase Agreement, and such representations and warranties should not be relied on by any other person.</w:t>
      </w:r>
    </w:p>
    <w:p>
      <w:pPr>
        <w:pStyle w:val="TextBody"/>
        <w:bidi w:val="0"/>
        <w:spacing w:lineRule="auto" w:line="300"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November Warrants, a holder will not have the right to exercise any portion of the November Warrants if the holder (together with its affiliates) would beneficially own in excess of 4.99% of the number of the Company’s common stock outstanding immediately after giving effect to the exercise, as such percentage of ownership is determined in accordance with the terms of the November Warrants. However, upon notice from the holder to the Company, the holder may increase the beneficial ownership limitation to 9.99% of the number of shares of common stock outstanding immediately after giving effect to the exercise of the November Warrants.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February 26, 2026, the Company has sold 9,255,823 shares, and issued 895,579 warrants to Alumni Capital LP under the ELOC Purchase Agreement with an estimated gross proceeds of $6.2 million of which $0.2 million was received subsequent to December 31, 2025. </w:t>
      </w:r>
    </w:p>
    <w:p>
      <w:pPr>
        <w:pStyle w:val="TextBody"/>
        <w:bidi w:val="0"/>
        <w:spacing w:lineRule="auto" w:line="30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February 26, 2026, we had 16,192,438 shares of our common stock issued and outstanding. Except as otherwise indicated, all share and share price herein give effect to a forward stock split effected on May 17, 2023 at a ratio of 7.1 for one, a reverse stock split effected on July 1, 2024 at a ratio of one for 30 and a reverse stock split effected on August 21, 2025 at a ratio of one for 6.66. As of the date of this filing, our Board is still evaluating the need for a further reverse split and, if needed, the exact split ratio based on our financing alternatives and NYSE American compliance considerations. Our financial statements will not reflect a further reverse stock split until such time as it occurs. </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300" w:before="0" w:after="160"/>
        <w:ind w:left="0" w:right="0" w:firstLine="720"/>
        <w:jc w:val="both"/>
        <w:rPr/>
      </w:pPr>
      <w:r>
        <w:rPr>
          <w:rFonts w:ascii="Times New Roman;serif" w:hAnsi="Times New Roman;serif"/>
          <w:b w:val="false"/>
          <w:color w:val="000000"/>
          <w:sz w:val="20"/>
        </w:rPr>
        <w:t xml:space="preserve">We are focused on developing innovative therapies for precision dermatology using engineered proteins and topical live biotherapeutic products. We have built a proprietary platform that includes a microbial library comprised of approximately 1,500 unique bacterial strains that can be screened for unique therapeutic characteristics. The platform is augmented by an artificial intelligence and machine learning technology, which can enable the transformation of previously genetically intractable strains. Our initial focus is on the development of genetically engineered strains of </w:t>
      </w:r>
      <w:r>
        <w:rPr>
          <w:rFonts w:ascii="Times New Roman;serif" w:hAnsi="Times New Roman;serif"/>
          <w:b w:val="false"/>
          <w:i/>
          <w:color w:val="000000"/>
          <w:sz w:val="20"/>
        </w:rPr>
        <w:t>Staphylococcus epidermidis, or S. epidermidis</w:t>
      </w:r>
      <w:r>
        <w:rPr>
          <w:rFonts w:ascii="Times New Roman;serif" w:hAnsi="Times New Roman;serif"/>
          <w:b w:val="false"/>
          <w:color w:val="000000"/>
          <w:sz w:val="20"/>
        </w:rPr>
        <w:t>, which we consider to be an optimal therapeutic candidate species for engineering of dermatologic therapies. The particular species demonstrates a number of well-described properties in the skin. As of the date of this report, we have identified among our microbial library over 60 distinct bacterial species that we believe are capable of being engineered to create living organisms or engineered proteins with significant therapeutic effect.</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pioneer in genetically engineered bacteria for therapeutic use in dermatology. Our goal is to leverage our platforms and internal microbial library bacterial strains to create new therapeutics that are either engineered living organisms or engineered proteins or peptides to treat skin diseases. Our initial focus is on the development of our current programs, including:</w:t>
      </w:r>
    </w:p>
    <w:p>
      <w:pPr>
        <w:pStyle w:val="TextBody"/>
        <w:bidi w:val="0"/>
        <w:spacing w:lineRule="auto" w:line="300" w:before="0" w:after="160"/>
        <w:ind w:left="0" w:right="0" w:hanging="360"/>
        <w:jc w:val="both"/>
        <w:rPr/>
      </w:pPr>
      <w:r>
        <w:rPr>
          <w:color w:val="000000"/>
        </w:rPr>
        <w:t>•</w:t>
      </w:r>
      <w:r>
        <w:rPr>
          <w:rFonts w:ascii="Times New Roman;serif" w:hAnsi="Times New Roman;serif"/>
          <w:b/>
          <w:color w:val="000000"/>
          <w:sz w:val="20"/>
        </w:rPr>
        <w:t>ATR-12</w:t>
      </w:r>
      <w:r>
        <w:rPr>
          <w:rFonts w:ascii="Times New Roman;serif" w:hAnsi="Times New Roman;serif"/>
          <w:b w:val="false"/>
          <w:color w:val="000000"/>
          <w:sz w:val="20"/>
        </w:rPr>
        <w:t>, which includes a genetically modified strain of</w:t>
      </w:r>
      <w:r>
        <w:rPr>
          <w:color w:val="000000"/>
        </w:rPr>
        <w:t xml:space="preserve">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 xml:space="preserve">for treating the orphan disease, Netherton syndrome, a chronic and sometimes fatal disease of the skin estimated to affect approximately one in every 100,000, but its prevalence may be underestimated due to misdiagnosis caused by similarities to other skin diseases. We received Pediatric Rare Disease Designation for ATR-12 by the United States Food and Drug Administration, or FDA, in 2019. In December 2022, we submitted an investigational new drug application, or IND, for a Phase 1b clinical trial of ATR-12 in Netherton syndrome patients, and on January 27, 2023 we received notification from the FDA that the “study may proceed” with respect to the proposed Phase 1b clinical trial. After submitting post-IND manufacturing reports, we have commenced operating activities for our Phase 1b clinical trial in December 2023, and we dosed our first patient in August 2024. We reported initial clinical safety results in the first half of 2025.           </w:t>
      </w:r>
    </w:p>
    <w:p>
      <w:pPr>
        <w:pStyle w:val="TextBody"/>
        <w:bidi w:val="0"/>
        <w:spacing w:lineRule="auto" w:line="300" w:before="0" w:after="160"/>
        <w:ind w:left="0" w:right="0" w:hanging="360"/>
        <w:jc w:val="both"/>
        <w:rPr/>
      </w:pPr>
      <w:r>
        <w:rPr>
          <w:color w:val="000000"/>
        </w:rPr>
        <w:t>•</w:t>
      </w:r>
      <w:r>
        <w:rPr>
          <w:rFonts w:ascii="Times New Roman;serif" w:hAnsi="Times New Roman;serif"/>
          <w:b/>
          <w:color w:val="000000"/>
          <w:sz w:val="20"/>
        </w:rPr>
        <w:t>ATR-04</w:t>
      </w:r>
      <w:r>
        <w:rPr>
          <w:rFonts w:ascii="Times New Roman;serif" w:hAnsi="Times New Roman;serif"/>
          <w:b w:val="false"/>
          <w:color w:val="000000"/>
          <w:sz w:val="20"/>
        </w:rPr>
        <w:t>, which includes a genetically modified strain of</w:t>
      </w:r>
      <w:r>
        <w:rPr>
          <w:color w:val="000000"/>
        </w:rPr>
        <w:t xml:space="preserve"> </w:t>
      </w:r>
      <w:r>
        <w:rPr>
          <w:rFonts w:ascii="Times New Roman;serif" w:hAnsi="Times New Roman;serif"/>
          <w:b w:val="false"/>
          <w:i/>
          <w:color w:val="000000"/>
          <w:sz w:val="20"/>
        </w:rPr>
        <w:t xml:space="preserve">S. epidermidis </w:t>
      </w:r>
      <w:r>
        <w:rPr>
          <w:rFonts w:ascii="Times New Roman;serif" w:hAnsi="Times New Roman;serif"/>
          <w:b w:val="false"/>
          <w:color w:val="000000"/>
          <w:sz w:val="20"/>
        </w:rPr>
        <w:t xml:space="preserve">for treating the papulopustular rash experienced by cancer patients undergoing epidermal growth factor receptor inhibitor, or EGFRi, targeted therapy. In August 2024, we obtained IND clearance from the FDA to commence a Phase 1/2 clinical trial in certain cancer patients undergoing EGFRi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499745"/>
                <wp:effectExtent l="0" t="0" r="0" b="0"/>
                <wp:wrapNone/>
                <wp:docPr id="91" name="Frame78"/>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targeted therapy. In September 2024, we obtained Fast Track designation by the FDA in this indication. We dosed the first patient in the Phase 1/2 clinical trial in the third quarter of 2025.     </w:t>
      </w:r>
    </w:p>
    <w:p>
      <w:pPr>
        <w:pStyle w:val="TextBody"/>
        <w:bidi w:val="0"/>
        <w:spacing w:lineRule="auto" w:line="300" w:before="0" w:after="160"/>
        <w:ind w:left="0" w:right="0" w:hanging="360"/>
        <w:jc w:val="both"/>
        <w:rPr/>
      </w:pPr>
      <w:r>
        <w:rPr>
          <w:color w:val="000000"/>
        </w:rPr>
        <w:t>•</w:t>
      </w:r>
      <w:r>
        <w:rPr>
          <w:rFonts w:ascii="Times New Roman;serif" w:hAnsi="Times New Roman;serif"/>
          <w:b/>
          <w:color w:val="000000"/>
          <w:sz w:val="20"/>
        </w:rPr>
        <w:t>ATR-01</w:t>
      </w:r>
      <w:r>
        <w:rPr>
          <w:rFonts w:ascii="Times New Roman;serif" w:hAnsi="Times New Roman;serif"/>
          <w:b w:val="false"/>
          <w:color w:val="000000"/>
          <w:sz w:val="20"/>
        </w:rPr>
        <w:t xml:space="preserve">, which includes a genetically modified strain of </w:t>
      </w:r>
      <w:r>
        <w:rPr>
          <w:rFonts w:ascii="Times New Roman;serif" w:hAnsi="Times New Roman;serif"/>
          <w:b w:val="false"/>
          <w:i/>
          <w:color w:val="000000"/>
          <w:sz w:val="20"/>
        </w:rPr>
        <w:t>S. epidermidis</w:t>
      </w:r>
      <w:r>
        <w:rPr>
          <w:color w:val="000000"/>
        </w:rPr>
        <w:t xml:space="preserve"> </w:t>
      </w:r>
      <w:r>
        <w:rPr>
          <w:rFonts w:ascii="Times New Roman;serif" w:hAnsi="Times New Roman;serif"/>
          <w:b w:val="false"/>
          <w:color w:val="000000"/>
          <w:sz w:val="20"/>
        </w:rPr>
        <w:t>that expresses an engineered recombinant human filaggrin protein for treating ichthyosis vulgaris, a chronic, xerotic (abnormally dry), scaly skin disease with an estimated incidence and prevalence of 1 in 250, which suggests a total patient population of 1.3 million in the United States. We are planning to perform lead optimization and IND-enabling studies in 2025 to support a potential IND filing in 2026.</w:t>
      </w:r>
    </w:p>
    <w:p>
      <w:pPr>
        <w:pStyle w:val="TextBody"/>
        <w:bidi w:val="0"/>
        <w:spacing w:before="0" w:after="2"/>
        <w:jc w:val="both"/>
        <w:rPr/>
      </w:pPr>
      <w:r>
        <w:rPr/>
      </w:r>
    </w:p>
    <w:p>
      <w:pPr>
        <w:pStyle w:val="TextBody"/>
        <w:bidi w:val="0"/>
        <w:spacing w:before="0" w:after="2"/>
        <w:jc w:val="both"/>
        <w:rPr/>
      </w:pPr>
      <w:r>
        <w:rPr/>
        <w:drawing>
          <wp:inline distT="0" distB="0" distL="0" distR="0">
            <wp:extent cx="6858000" cy="2667000"/>
            <wp:effectExtent l="0" t="0" r="0" b="0"/>
            <wp:docPr id="9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4" descr=""/>
                    <pic:cNvPicPr>
                      <a:picLocks noChangeAspect="1" noChangeArrowheads="1"/>
                    </pic:cNvPicPr>
                  </pic:nvPicPr>
                  <pic:blipFill>
                    <a:blip r:embed="rId15"/>
                    <a:stretch>
                      <a:fillRect/>
                    </a:stretch>
                  </pic:blipFill>
                  <pic:spPr bwMode="auto">
                    <a:xfrm>
                      <a:off x="0" y="0"/>
                      <a:ext cx="6858000" cy="2667000"/>
                    </a:xfrm>
                    <a:prstGeom prst="rect">
                      <a:avLst/>
                    </a:prstGeom>
                  </pic:spPr>
                </pic:pic>
              </a:graphicData>
            </a:graphic>
          </wp:inline>
        </w:drawing>
      </w:r>
      <w:bookmarkStart w:id="13" w:name="i-14"/>
      <w:bookmarkEnd w:id="13"/>
    </w:p>
    <w:p>
      <w:pPr>
        <w:pStyle w:val="TextBody"/>
        <w:bidi w:val="0"/>
        <w:spacing w:before="0" w:after="2"/>
        <w:jc w:val="both"/>
        <w:rPr/>
      </w:pPr>
      <w:r>
        <w:rPr/>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have established partnerships with teams from Carnegie Mellon University and the Fred Hutch, two of the premier academic centers in the United States. Our collaboration with the Carnegie Mellon based team also takes advantage of the power of whole genome sequencing. This partnership is mining our proprietary library of bacterial strains for novel, drug like peptides and proteins. The artificial intelligence/machine learning technology developed by this team predicts the molecules made by microbes from their genetic sequences. The system then compares the predictions to the products actually made through tandem mass spectroscopy and/or nuclear magnetic resonance imaging to refine future predictions. The predictions can be compared to publicly available 2D and 3D protein databases to select drug like structures.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hold an exclusive, worldwide license from Fred Hutch regarding the use of its patented SyngenicDNA Minicircle Plasmid, or SyMPL, technologies for all fields of genetic engineering, including to discover, develop and commercialize engineered microbial therapies and microbial-derived peptides and proteins for skin diseases. We are utilizing our licensed patent rights to build plasmids in order to make genetic transformations that have never been previously achieved. To date, our team has successfully engineered our lead therapeutic candidates without the SyMPL technology. However, we believe that SyMPL will open up the ability to make genetic transformations of an expanded universe of microbial species, and we expect that some or all of our future product candidates will incorporate the SyMPL technology.</w:t>
      </w:r>
    </w:p>
    <w:p>
      <w:pPr>
        <w:pStyle w:val="TextBody"/>
        <w:bidi w:val="0"/>
        <w:spacing w:lineRule="auto" w:line="300" w:before="0" w:after="160"/>
        <w:ind w:left="0" w:right="0" w:firstLine="720"/>
        <w:jc w:val="both"/>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Beyond our three lead product candidates, our goal is to develop a broad portfolio of product candidates focused on expanding the application of our platforms for precision dermatology. We believe that we have established a unique position in advancing the development of biologics for precision dermatology.</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intend to create a broad portfolio of product candidates for precision dermatology through our development of genetically engineered proteins selected from our proprietary microbial library of approximately 1,500 unique bacterial strains. Our strategy is as follows:</w:t>
      </w:r>
    </w:p>
    <w:p>
      <w:pPr>
        <w:pStyle w:val="TextBody"/>
        <w:bidi w:val="0"/>
        <w:spacing w:lineRule="auto" w:line="300" w:before="0" w:after="2"/>
        <w:ind w:left="0" w:right="0" w:hanging="360"/>
        <w:jc w:val="both"/>
        <w:rPr/>
      </w:pPr>
      <w:r>
        <w:rPr>
          <w:color w:val="000000"/>
        </w:rPr>
        <w:t>•</w:t>
      </w:r>
      <w:r>
        <w:rPr>
          <w:rFonts w:ascii="Times New Roman;serif" w:hAnsi="Times New Roman;serif"/>
          <w:b/>
          <w:i/>
          <w:color w:val="000000"/>
          <w:sz w:val="20"/>
        </w:rPr>
        <w:t>Build a sustainable precision dermatology company.</w:t>
      </w:r>
      <w:r>
        <w:rPr>
          <w:color w:val="000000"/>
        </w:rPr>
        <w:t xml:space="preserve"> </w:t>
      </w:r>
      <w:r>
        <w:rPr>
          <w:rFonts w:ascii="Times New Roman;serif" w:hAnsi="Times New Roman;serif"/>
          <w:b w:val="false"/>
          <w:color w:val="000000"/>
          <w:sz w:val="20"/>
        </w:rPr>
        <w:t>Our goal is to build a leading precision dermatology company with a sustainable pipeline of product candidates. To that end, we are focused on rapidly advancing our current pipeline of live biotherapeutic candidates while actively developing additional product candidates. Each of our current product candidates are proprietary and subject to pending patent applications. We expect that most, if not all, genetically engineered product candidates we develop will be eligible for patent protection.</w:t>
      </w:r>
    </w:p>
    <w:p>
      <w:pPr>
        <w:pStyle w:val="TextBody"/>
        <w:bidi w:val="0"/>
        <w:spacing w:lineRule="auto" w:line="300" w:before="0" w:after="2"/>
        <w:jc w:val="both"/>
        <w:rPr>
          <w:color w:val="000000"/>
        </w:rPr>
      </w:pP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99745"/>
                <wp:effectExtent l="0" t="0" r="0" b="0"/>
                <wp:wrapNone/>
                <wp:docPr id="93" name="Frame79"/>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160"/>
        <w:ind w:left="0" w:right="0" w:hanging="360"/>
        <w:jc w:val="both"/>
        <w:rPr/>
      </w:pPr>
      <w:r>
        <w:rPr>
          <w:color w:val="000000"/>
        </w:rPr>
        <w:t>•</w:t>
      </w:r>
      <w:r>
        <w:rPr>
          <w:rFonts w:ascii="Times New Roman;serif" w:hAnsi="Times New Roman;serif"/>
          <w:b/>
          <w:i/>
          <w:color w:val="000000"/>
          <w:sz w:val="20"/>
        </w:rPr>
        <w:t xml:space="preserve">Advance our lead programs, ATR-12 and ATR-04, through clinical trials. </w:t>
      </w:r>
      <w:r>
        <w:rPr>
          <w:rFonts w:ascii="Times New Roman;serif" w:hAnsi="Times New Roman;serif"/>
          <w:b w:val="false"/>
          <w:color w:val="000000"/>
          <w:sz w:val="20"/>
        </w:rPr>
        <w:t xml:space="preserve">In 2022, we obtained pre-IND correspondence with the FDA for purposes of discussing our proposed regulatory pathway for the ATR-12 program and obtaining guidance from the FDA on the preclinical plan leading to the filing and acceptance of an IND for ATR-12. In December 2022, we filed an IND for an ATR-12 first-in-human trial in Netherton syndrome patients. On January 27, 2023, we received notification from the FDA that the “study may proceed” with respect to the proposed Phase 1b clinical trial, and in August 2024 we initiated dosing the first patient in the ATR-12 Phase 1b clinical trial. In August 2024, we received IND clearance from the FDA for a first-in-human Phase 1b/2a clinical trial in patients with EGFRi-associated rash, and in September 2024, the FDA granted Fast Track designation for the ATR-04 program. We commenced a Phase 1b trial for our ATR-04 program in certain cancer patients undergoing EGFRi therapy in the fourth quarter of 2024 and initiated dosing the first patient in the ATR-04 Phase 1/2 clinical trial in the third quarter of 2025. We reported initial safety results of the first patients dosed in our Phase 1b clinical trial for our ATR-12 program in Netherton syndrome patients in the first half of 2025.      </w:t>
      </w:r>
    </w:p>
    <w:p>
      <w:pPr>
        <w:pStyle w:val="TextBody"/>
        <w:bidi w:val="0"/>
        <w:spacing w:lineRule="auto" w:line="300" w:before="0" w:after="160"/>
        <w:ind w:left="0" w:right="0" w:hanging="360"/>
        <w:jc w:val="both"/>
        <w:rPr/>
      </w:pPr>
      <w:r>
        <w:rPr>
          <w:color w:val="000000"/>
        </w:rPr>
        <w:t>•</w:t>
      </w:r>
      <w:r>
        <w:rPr>
          <w:rFonts w:ascii="Times New Roman;serif" w:hAnsi="Times New Roman;serif"/>
          <w:b/>
          <w:i/>
          <w:color w:val="000000"/>
          <w:sz w:val="20"/>
        </w:rPr>
        <w:t xml:space="preserve">Broaden our platform by selectively exploring strategic partnerships that maximize the potential of our precision dermatology programs. </w:t>
      </w:r>
      <w:r>
        <w:rPr>
          <w:rFonts w:ascii="Times New Roman;serif" w:hAnsi="Times New Roman;serif"/>
          <w:b w:val="false"/>
          <w:color w:val="000000"/>
          <w:sz w:val="20"/>
        </w:rPr>
        <w:t xml:space="preserve">We intend to maintain significant rights to all of our core technologies and product candidates. However, we will continue to evaluate partnering opportunities in which a strategic partner could help us to accelerate development of our technologies and product candidates, provide access to synergistic combinations, or provide expertise that could allow us to expand into the treatment of different types of skin diseases. We may also broaden the reach of our platform by selectively in-licensing technologies or product candidates. In addition, we will consider potentially out-licensing certain of our proprietary technologies for indications and industries that we are not ourselves pursuing. We believe our genetic engineering techniques and technologies have applicability outside of the field of medicine, including cosmetics and in the generation of clean fuels and bioremediation.      </w:t>
      </w:r>
    </w:p>
    <w:p>
      <w:pPr>
        <w:pStyle w:val="TextBody"/>
        <w:bidi w:val="0"/>
        <w:spacing w:lineRule="auto" w:line="300" w:before="0" w:after="160"/>
        <w:ind w:left="0" w:right="0" w:hanging="360"/>
        <w:jc w:val="both"/>
        <w:rPr/>
      </w:pPr>
      <w:r>
        <w:rPr>
          <w:color w:val="000000"/>
        </w:rPr>
        <w:t>•</w:t>
      </w:r>
      <w:r>
        <w:rPr>
          <w:rFonts w:ascii="Times New Roman;serif" w:hAnsi="Times New Roman;serif"/>
          <w:b/>
          <w:i/>
          <w:color w:val="000000"/>
          <w:sz w:val="20"/>
        </w:rPr>
        <w:t xml:space="preserve">Leverage our academic partnerships. </w:t>
      </w:r>
      <w:r>
        <w:rPr>
          <w:rFonts w:ascii="Times New Roman;serif" w:hAnsi="Times New Roman;serif"/>
          <w:b w:val="false"/>
          <w:color w:val="000000"/>
          <w:sz w:val="20"/>
        </w:rPr>
        <w:t xml:space="preserve">We currently have partnerships with investigators at the Fred Hutchinson Cancer Center, Yale University, Duke University, and Carnegie Mellon University. We expect to leverage these partnerships and potentially expand them or form other academic partnerships to bolster our engineering platforms and expand our research and development pipeline.          </w:t>
      </w:r>
    </w:p>
    <w:p>
      <w:pPr>
        <w:pStyle w:val="TextBody"/>
        <w:bidi w:val="0"/>
        <w:spacing w:lineRule="auto" w:line="300" w:before="0" w:after="160"/>
        <w:ind w:left="0" w:right="0" w:hanging="360"/>
        <w:jc w:val="both"/>
        <w:rPr/>
      </w:pPr>
      <w:r>
        <w:rPr>
          <w:color w:val="000000"/>
        </w:rPr>
        <w:t>•</w:t>
      </w:r>
      <w:r>
        <w:rPr>
          <w:rFonts w:ascii="Times New Roman;serif" w:hAnsi="Times New Roman;serif"/>
          <w:b/>
          <w:i/>
          <w:color w:val="000000"/>
          <w:sz w:val="20"/>
        </w:rPr>
        <w:t>Expand on our other potential product candidates.</w:t>
      </w:r>
      <w:r>
        <w:rPr>
          <w:color w:val="000000"/>
        </w:rPr>
        <w:t xml:space="preserve"> </w:t>
      </w:r>
      <w:r>
        <w:rPr>
          <w:rFonts w:ascii="Times New Roman;serif" w:hAnsi="Times New Roman;serif"/>
          <w:b w:val="false"/>
          <w:color w:val="000000"/>
          <w:sz w:val="20"/>
        </w:rPr>
        <w:t>Beyond our three lead product candidates, our goal is to develop a broad portfolio of product candidates focused on expanding the application of our platforms for precision dermatology. We have a proprietary platform for discovering and developing therapeutic products for precision dermatology. Our platform is built around a microbial library comprised of approximately 1,500 unique bacterial strains to allow screening for unique therapeutic characteristics and utilizes a microbial genetic technology that analyzes, predicts and engineers the proteins, peptides and molecules made by skin microbes. Our ability to genetically engineer intractable microbial species is uniquely leveraged by our exclusive license to the SyMPL technology.</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Other Events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 2025, the Company received a Deficiency Letter from the NYSE American indicating that the Company is not in compliance with the NYSE American continued listing standards set forth in Sections 1003(a)(ii) of the NYSE American Company Guide. Section 1003(a)(ii) of the NYSE American Company Guide requires a listed company’s stockholders’ equity be at least $4.0 million if it has reported losses from continuing operations and/or net losses in three of its four most recent fiscal years. The Deficiency Letter noted that the Company reported stockholders’ deficit of $2.2 million as of June 30, 2025, and losses from continuing operations and/or net losses in three of its four most recent fiscal years ended December 31, 2024.</w:t>
      </w:r>
    </w:p>
    <w:p>
      <w:pPr>
        <w:pStyle w:val="TextBody"/>
        <w:bidi w:val="0"/>
        <w:spacing w:lineRule="auto" w:line="300"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maintain the Company’s listing on the NYSE American, the NYSE American requested that the Company submit a plan of compliance (the “Plan”) by October 31, 2025 addressing how the Company intends to regain compliance with Section 1003(a)(ii) of the NYSE American Company Guide.</w:t>
      </w:r>
    </w:p>
    <w:p>
      <w:pPr>
        <w:pStyle w:val="TextBody"/>
        <w:bidi w:val="0"/>
        <w:spacing w:lineRule="auto" w:line="26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submitted the Plan to the NYSE American by the October 31, 2025 deadline and on December 16, 2025, the Company received notice that the NYSE American had accepted the Company's Plan and granted a plan period through April 1, 2027 (the “Plan Period Deadline”). The Company will be able to continue its listing during the plan period and will be subject to continued periodic review by the NYSE American staff. If the Company does not make progress consistent with the Plan during the plan period or if the Company is not in compliance with the listing standards by the Plan Period Deadline, then the Company will be subject to delisting procedures as set forth in the NYSE American Company Guide. </w:t>
      </w:r>
    </w:p>
    <w:p>
      <w:pPr>
        <w:pStyle w:val="TextBody"/>
        <w:bidi w:val="0"/>
        <w:spacing w:lineRule="auto" w:line="300"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committed to achieving compliance with the NYSE American’s requirements. There can be no assurance that the Company will be able to achieve compliance with the NYSE American’s continued listing standards within the required time frame.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499745"/>
                <wp:effectExtent l="0" t="0" r="0" b="0"/>
                <wp:wrapNone/>
                <wp:docPr id="94" name="Frame80"/>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early-stage clinical biopharmaceutical company, formed in January 2014, and have limited operating history. We have not commenced revenue-producing operations, and our core focus is on the research and development of innovative therapies for precision dermatology using engineered proteins and live biotherapeutic products. To date, our operations have consisted of the development of our proprietary microbial library, the identification, characterization and testing of certain bacterial species from our microbial library that we believe are capable of being engineered to provide significant therapeutic effect, the development of our initial product candidates and the commencement of phase 1/2 clinical trials related to our ATR-12, and ATR-04 product candidates. </w:t>
      </w:r>
    </w:p>
    <w:p>
      <w:pPr>
        <w:pStyle w:val="TextBody"/>
        <w:bidi w:val="0"/>
        <w:spacing w:before="0" w:after="160"/>
        <w:ind w:left="0" w:right="0" w:firstLine="720"/>
        <w:jc w:val="both"/>
        <w:rPr/>
      </w:pPr>
      <w:r>
        <w:rPr/>
      </w:r>
    </w:p>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pPr>
      <w:r>
        <w:rPr>
          <w:rFonts w:ascii="Times New Roman;serif" w:hAnsi="Times New Roman;serif"/>
          <w:b w:val="false"/>
          <w:color w:val="000000"/>
          <w:sz w:val="20"/>
        </w:rPr>
        <w:t>Year Ended December 31, 2025</w:t>
      </w:r>
      <w:r>
        <w:rPr>
          <w:color w:val="000000"/>
        </w:rPr>
        <w:t xml:space="preserve"> </w:t>
      </w:r>
      <w:r>
        <w:rPr>
          <w:rFonts w:ascii="Times New Roman;serif" w:hAnsi="Times New Roman;serif"/>
          <w:b/>
          <w:color w:val="000000"/>
          <w:sz w:val="20"/>
        </w:rPr>
        <w:t xml:space="preserve">Compared to </w:t>
      </w:r>
      <w:r>
        <w:rPr>
          <w:rFonts w:ascii="Times New Roman;serif" w:hAnsi="Times New Roman;serif"/>
          <w:b w:val="false"/>
          <w:color w:val="000000"/>
          <w:sz w:val="20"/>
        </w:rPr>
        <w:t>Year Ended December 31, 2024</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with respect to the items set forth below for the years ended December 31, 2025 and 2024 together with the percentage change for those items.</w:t>
      </w:r>
    </w:p>
    <w:p>
      <w:pPr>
        <w:pStyle w:val="TextBody"/>
        <w:bidi w:val="0"/>
        <w:spacing w:before="0" w:after="2"/>
        <w:jc w:val="both"/>
        <w:rPr/>
      </w:pPr>
      <w:r>
        <w:rPr/>
      </w:r>
    </w:p>
    <w:tbl>
      <w:tblPr>
        <w:tblW w:w="10205" w:type="dxa"/>
        <w:jc w:val="center"/>
        <w:tblInd w:w="0" w:type="dxa"/>
        <w:tblLayout w:type="fixed"/>
        <w:tblCellMar>
          <w:top w:w="28" w:type="dxa"/>
          <w:left w:w="28" w:type="dxa"/>
          <w:bottom w:w="28" w:type="dxa"/>
          <w:right w:w="28" w:type="dxa"/>
        </w:tblCellMar>
      </w:tblPr>
      <w:tblGrid>
        <w:gridCol w:w="1316"/>
        <w:gridCol w:w="1111"/>
        <w:gridCol w:w="1119"/>
        <w:gridCol w:w="109"/>
        <w:gridCol w:w="109"/>
        <w:gridCol w:w="109"/>
        <w:gridCol w:w="211"/>
        <w:gridCol w:w="1150"/>
        <w:gridCol w:w="109"/>
        <w:gridCol w:w="109"/>
        <w:gridCol w:w="109"/>
        <w:gridCol w:w="109"/>
        <w:gridCol w:w="211"/>
        <w:gridCol w:w="1045"/>
        <w:gridCol w:w="109"/>
        <w:gridCol w:w="109"/>
        <w:gridCol w:w="109"/>
        <w:gridCol w:w="109"/>
        <w:gridCol w:w="211"/>
        <w:gridCol w:w="1045"/>
        <w:gridCol w:w="109"/>
        <w:gridCol w:w="109"/>
        <w:gridCol w:w="109"/>
        <w:gridCol w:w="109"/>
        <w:gridCol w:w="266"/>
        <w:gridCol w:w="268"/>
        <w:gridCol w:w="617"/>
      </w:tblGrid>
      <w:tr>
        <w:trPr/>
        <w:tc>
          <w:tcPr>
            <w:tcW w:w="131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2"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3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Service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6,130,657 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6,269,262 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4,836,008 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4,723,378 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10,966,665 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10,992,640 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(10,966,665)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(10,985,140)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6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6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3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3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4,034,072 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(4,033,691)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(2,132,800)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2,132,800 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6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6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2,026,679 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(2,007,065)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(10,947,051)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(8,958,461)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(1,988,590)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3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35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(10,955,370)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(8,967,492)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(1,987,878)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
        <w:ind w:left="0" w:right="0" w:firstLine="720"/>
        <w:jc w:val="both"/>
        <w:rPr/>
      </w:pPr>
      <w:r>
        <w:rPr/>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Service Revenue - Related Party</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generated $0 of service revenue under the Bayer JDA during the year ended December 31, 2025 compared to service revenue of $7,500 under the Bayer JDA for the year ended December 31, 2024. The decrease of $7,500 in service revenue is attributable to a decrease in the amount of reimbursable development costs incurred in 2025. We do not expect any further service revenue at this time.</w:t>
      </w:r>
    </w:p>
    <w:p>
      <w:pPr>
        <w:pStyle w:val="TextBody"/>
        <w:bidi w:val="0"/>
        <w:spacing w:before="0" w:after="16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99745"/>
                <wp:effectExtent l="0" t="0" r="0" b="0"/>
                <wp:wrapNone/>
                <wp:docPr id="95" name="Frame81"/>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2"/>
        <w:jc w:val="left"/>
        <w:rPr/>
      </w:pPr>
      <w:r>
        <w:rPr/>
      </w:r>
    </w:p>
    <w:p>
      <w:pPr>
        <w:pStyle w:val="TextBody"/>
        <w:bidi w:val="0"/>
        <w:spacing w:before="0" w:after="160"/>
        <w:ind w:left="0" w:right="0" w:firstLine="720"/>
        <w:jc w:val="both"/>
        <w:rPr/>
      </w:pPr>
      <w:r>
        <w:rPr/>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costs during the year ended December 31, 2025 decreased by $138,605, or 2%, to $6,130,657 from the prior year. The decrease was primarily related to a decrease of $71,000 in legal fees primarily related to the write off of certain patent expenses, a decrease of $327,000 in salaries and benefits primarily due to a decrease in stock option expense as options vest and the absence of a bonus accrual, a decrease of $74,000 in costs primarily attributable to the 2024 payment to the previous investment bank offset by the increase in NYSE listing costs, a decrease in hiring costs of $20,000 primarily related to a compensation consultant, a decrease of $37,000 in insurance expense and a net decrease of approximately $60,000 in other overhead expenses. offset by an increase of $176,000 for the use of business consultants which was primarily attributed to increased hours due to incremental public company compliance initiatives and business development efforts, an increase of $120,000 for public relations expenditures which increased due to additional services and an increase in our base rates, an increase of $51,000 for software and equipment, and an increase of $104,000 in accounting costs primarily related to an increase in fees paid to external auditors and NYSE American.</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that our general and administrative expenses will incur a modest increase in the future as a result of personnel costs, and facility operating costs. We also expect an increase in costs associated with being a public company, including costs related to accounting, audit, legal, consulting fees, regulatory and tax-related services associated with maintaining compliance with applicable NYSE American and SEC requirements, additional director and officer insurance costs, and investor and public relations costs.</w:t>
      </w:r>
    </w:p>
    <w:p>
      <w:pPr>
        <w:pStyle w:val="TextBody"/>
        <w:bidi w:val="0"/>
        <w:spacing w:lineRule="auto" w:line="300" w:before="0" w:after="2"/>
        <w:ind w:left="0" w:right="0" w:firstLine="7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before="0" w:after="2"/>
        <w:jc w:val="both"/>
        <w:rPr/>
      </w:pPr>
      <w:r>
        <w:rPr/>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include salaries and benefits of all research personnel, payments to contract research organizations, payments to research consultants, and the purchase of lab supplies.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and 2024 our research and development expenses by category were as follows:</w:t>
      </w:r>
    </w:p>
    <w:tbl>
      <w:tblPr>
        <w:tblW w:w="8240" w:type="dxa"/>
        <w:jc w:val="center"/>
        <w:tblInd w:w="0" w:type="dxa"/>
        <w:tblLayout w:type="fixed"/>
        <w:tblCellMar>
          <w:top w:w="28" w:type="dxa"/>
          <w:left w:w="28" w:type="dxa"/>
          <w:bottom w:w="28" w:type="dxa"/>
          <w:right w:w="28" w:type="dxa"/>
        </w:tblCellMar>
      </w:tblPr>
      <w:tblGrid>
        <w:gridCol w:w="1793"/>
        <w:gridCol w:w="1572"/>
        <w:gridCol w:w="1584"/>
        <w:gridCol w:w="109"/>
        <w:gridCol w:w="109"/>
        <w:gridCol w:w="109"/>
        <w:gridCol w:w="211"/>
        <w:gridCol w:w="976"/>
        <w:gridCol w:w="109"/>
        <w:gridCol w:w="109"/>
        <w:gridCol w:w="109"/>
        <w:gridCol w:w="109"/>
        <w:gridCol w:w="211"/>
        <w:gridCol w:w="976"/>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9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Expense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94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Preclinical and clinical research and development activities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2,737,692 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2,052,090 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Chemistry, manufacturing and controls (CMC)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605,687 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Personnel &amp; consultants related expenses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1,734,591 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2,065,601 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4,836,008 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4,723,378 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research and development expenses increased by $112,630, or 2%, to $4,836,008 from the prior year. The increase was primarily related to an net increase of $178,000 in research and development and clinical trial costs related to our ATR-04 program as the program progresses through its clinical trial, an increase of $351,000 in research and development costs related to our ATR-01 program as the program continues to progress, and an increase in lab supplies of $60,000 offset by a decrease in payroll and benefits of $24,000 due to increased salary from one new hire offset by the absence of a bonus accrual, a decrease of $125,000 in research and development and clinical trial costs related to our ATR-12 program as the program progresses through its clinical trial, a decrease of in $309,000 in consultant expenditures related to our programs prior to entering into their clinical phases, and an overall net decrease of approximately $18,000 in other costs. </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research and development expenses to significantly increase in the future due primarily to our planned clinical trial activity and continued development of product candidates.</w:t>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Other Income</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other income consists of interest income, loss on issuance of stock, loss on foreign currency translation, change in the valuation of warrants carried at fair value, loss on issuance of common stock, loss on disposal of property and equipment, and interest expense. During the year ended December 31, 2025, other income decreased by $2,007,065, or 99%, from the prior year. The decrease was primarily related to a decrease of $4,000,000 attributable to the change in the valuation of the warrants, a net decrease of $54,000 in other (expense) income, a decrease of $52,000 of interest income, offset by decrease of $2,200,000 in loss on issuance of stock.</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future other income (expense) to be consistent with prior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499745"/>
                <wp:effectExtent l="0" t="0" r="0" b="0"/>
                <wp:wrapNone/>
                <wp:docPr id="96" name="Frame82"/>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total assets of approximately $5.0 million and working capital of approximately $2.0 million. As of December 31, 2025, our liquidity included approximately $2.1 million of cash and cash equivalents. We believe that our cash on-hand as of the date of this report will not be sufficient to cover our proposed plan of operations over the next twelve months and thereafter. We intend to seek additional funds through various financing sources, including the sale of our equity and debt securities, federal grants, licensing fees for our technology and joint ventures with industry partners. In addition, we will consider alternatives to our current business plan that may enable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that we raise additional capital through the sale of equity or convertible debt securities, our common stockholders’ ownership interests will be diluted, and the terms of these securities may include liquidation or other preferences that adversely affect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filing, management has determined there is substantial doubt about our ability to continue as a going concern based on our lack of revenue from commercial operations, significant losses, and the need to raise additional capital to support ongoing operations. Our contractual commitments primarily consist of operating and financing leases with contractual undiscounted balances of $428,678, and $10,354, respectively as of December 31, 2025. Refer to Note 12 for more detailed information regarding our lease commitments. Additionally, as we continue to progress our product candidates through clinical trials, we will continue to incur additional costs related to our CRO's. It is common in our industry for the CRO's to require significant up-front cash payments prior to the beginning of such trial phases, and additional cash payments upon the achievement of certain milestones per the contracts' terms.</w:t>
      </w:r>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before="0" w:after="2"/>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shows a summary of our cash flows for the periods indicated:</w:t>
      </w:r>
    </w:p>
    <w:p>
      <w:pPr>
        <w:pStyle w:val="TextBody"/>
        <w:bidi w:val="0"/>
        <w:spacing w:before="0" w:after="2"/>
        <w:jc w:val="both"/>
        <w:rPr/>
      </w:pPr>
      <w:r>
        <w:rPr/>
      </w:r>
    </w:p>
    <w:tbl>
      <w:tblPr>
        <w:tblW w:w="6788" w:type="dxa"/>
        <w:jc w:val="left"/>
        <w:tblInd w:w="0" w:type="dxa"/>
        <w:tblLayout w:type="fixed"/>
        <w:tblCellMar>
          <w:top w:w="28" w:type="dxa"/>
          <w:left w:w="28" w:type="dxa"/>
          <w:bottom w:w="28" w:type="dxa"/>
          <w:right w:w="28" w:type="dxa"/>
        </w:tblCellMar>
      </w:tblPr>
      <w:tblGrid>
        <w:gridCol w:w="1253"/>
        <w:gridCol w:w="1104"/>
        <w:gridCol w:w="1107"/>
        <w:gridCol w:w="211"/>
        <w:gridCol w:w="1156"/>
        <w:gridCol w:w="109"/>
        <w:gridCol w:w="109"/>
        <w:gridCol w:w="109"/>
        <w:gridCol w:w="109"/>
        <w:gridCol w:w="211"/>
        <w:gridCol w:w="1156"/>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(11,224,125)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(10,183,740)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(379,246)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8,920,398 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13,321,716 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(2,486,636)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2,758,730 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both"/>
        <w:rPr/>
      </w:pPr>
      <w:r>
        <w:rPr/>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operating activities used $11.2 million of cash primarily driven by our net loss of $10.9 million. During fiscal 2024, operating activities used $10.2 million of cash primarily driven by our net loss of $9.0 million and by non-cash items of $1.2 million.</w:t>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investing activities used $182,909 of cash driven by $161,000 in trademark and deferred patent costs and $24,000 for the purchase of equipment offset by $3,000 in proceeds from the sale of property and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99745"/>
                <wp:effectExtent l="0" t="0" r="0" b="0"/>
                <wp:wrapNone/>
                <wp:docPr id="97" name="Frame83"/>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During fiscal 2024, investing activities used $379,246 of cash driven by $370,000 in trademark and deferred patent costs and $9,000 for the purchase of equipment.</w:t>
      </w:r>
    </w:p>
    <w:p>
      <w:pPr>
        <w:pStyle w:val="TextBody"/>
        <w:bidi w:val="0"/>
        <w:spacing w:lineRule="auto" w:line="300"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financing activities provided $8.9 million in cash primarily driven by proceeds from our January and February 2025 follow-on public offerings, draws on our equity line of credit, and the November Private Placement. During the fiscal 2024, financing activities provided $13.3 million in cash primarily driven by proceeds from our February 2024 follow-on offering.</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300" w:before="0" w:after="160"/>
        <w:ind w:left="0" w:right="0" w:firstLine="720"/>
        <w:jc w:val="both"/>
        <w:rPr/>
      </w:pPr>
      <w:r>
        <w:rPr>
          <w:rFonts w:ascii="Times New Roman;serif" w:hAnsi="Times New Roman;serif"/>
          <w:b w:val="false"/>
          <w:color w:val="000000"/>
          <w:sz w:val="20"/>
        </w:rPr>
        <w:t>During the year ended December 31, 2025, there were material changes to our critical accounting policies previously disclosed in our Form 10-K dated December 31, 2024 and filed with the SEC on February 24, 2025.</w:t>
      </w:r>
      <w:r>
        <w:rPr>
          <w:color w:val="000000"/>
        </w:rPr>
        <w:t xml:space="preserve"> </w:t>
      </w:r>
      <w:r>
        <w:rPr>
          <w:rFonts w:ascii="Times New Roman;serif" w:hAnsi="Times New Roman;serif"/>
          <w:b w:val="false"/>
          <w:color w:val="000000"/>
          <w:sz w:val="20"/>
        </w:rPr>
        <w:t>We no longer consider our revenue recognition, and estimating the fair value of our common stock critical accounting policies as we currently do not have transactions that produce revenue, and since we are a publicly traded company, we no longer need to estimate the fair value of our common stock as the Company's common stock is traded on the NYSE American.</w:t>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management’s discussion and analysis of our financial condition and results of operations are based on our condensed financial statements, which have been prepared in accordance with U.S. generally accepted accounting principles. The preparation of these condensed financial statements requires us to make judgments and estimates that affect the reported amounts of assets, liabilities, and expenses and the disclosure of contingent assets and liabilities in our condensed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condensed financial statements prospectively from the date of change in estimates. </w:t>
      </w:r>
    </w:p>
    <w:p>
      <w:pPr>
        <w:pStyle w:val="TextBody"/>
        <w:bidi w:val="0"/>
        <w:spacing w:before="0" w:after="2"/>
        <w:ind w:left="0" w:right="0" w:firstLine="720"/>
        <w:jc w:val="both"/>
        <w:rPr/>
      </w:pPr>
      <w:r>
        <w:rPr/>
      </w:r>
    </w:p>
    <w:p>
      <w:pPr>
        <w:pStyle w:val="TextBody"/>
        <w:bidi w:val="0"/>
        <w:spacing w:before="0" w:after="2"/>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499745"/>
                <wp:effectExtent l="0" t="0" r="0" b="0"/>
                <wp:wrapNone/>
                <wp:docPr id="98" name="Frame84"/>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99745"/>
                <wp:effectExtent l="0" t="0" r="0" b="0"/>
                <wp:wrapNone/>
                <wp:docPr id="99" name="Frame85"/>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2"/>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pStyle w:val="TextBody"/>
        <w:bidi w:val="0"/>
        <w:spacing w:before="240" w:after="240"/>
        <w:jc w:val="left"/>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240" w:after="240"/>
        <w:jc w:val="left"/>
        <w:rPr/>
      </w:pPr>
      <w:r>
        <w:rPr/>
      </w:r>
    </w:p>
    <w:tbl>
      <w:tblPr>
        <w:tblW w:w="10205" w:type="dxa"/>
        <w:jc w:val="center"/>
        <w:tblInd w:w="0" w:type="dxa"/>
        <w:tblLayout w:type="fixed"/>
        <w:tblCellMar>
          <w:top w:w="28" w:type="dxa"/>
          <w:left w:w="28" w:type="dxa"/>
          <w:bottom w:w="28" w:type="dxa"/>
          <w:right w:w="28" w:type="dxa"/>
        </w:tblCellMar>
      </w:tblPr>
      <w:tblGrid>
        <w:gridCol w:w="3047"/>
        <w:gridCol w:w="2689"/>
        <w:gridCol w:w="2697"/>
        <w:gridCol w:w="274"/>
        <w:gridCol w:w="274"/>
        <w:gridCol w:w="274"/>
        <w:gridCol w:w="279"/>
        <w:gridCol w:w="274"/>
        <w:gridCol w:w="397"/>
      </w:tblGrid>
      <w:tr>
        <w:trPr/>
        <w:tc>
          <w:tcPr>
            <w:tcW w:w="3047"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Index to Financial Statements</w:t>
            </w:r>
          </w:p>
        </w:tc>
      </w:tr>
      <w:tr>
        <w:trPr/>
        <w:tc>
          <w:tcPr>
            <w:tcW w:w="8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433"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Report of Independent Registered Public Accounting Firm (PCAOB ID Number 606)</w:t>
            </w:r>
          </w:p>
        </w:tc>
        <w:tc>
          <w:tcPr>
            <w:tcW w:w="82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F-1</w:t>
            </w:r>
          </w:p>
        </w:tc>
      </w:tr>
      <w:tr>
        <w:trPr/>
        <w:tc>
          <w:tcPr>
            <w:tcW w:w="84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Sheets at December 31, 2025 and 2024</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F-2</w:t>
            </w:r>
          </w:p>
        </w:tc>
      </w:tr>
      <w:tr>
        <w:trPr/>
        <w:tc>
          <w:tcPr>
            <w:tcW w:w="8433"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Statements of Operations for the years ended December 31, 2025 and 2024</w:t>
            </w:r>
          </w:p>
        </w:tc>
        <w:tc>
          <w:tcPr>
            <w:tcW w:w="82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F-4</w:t>
            </w:r>
          </w:p>
        </w:tc>
      </w:tr>
      <w:tr>
        <w:trPr/>
        <w:tc>
          <w:tcPr>
            <w:tcW w:w="84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Statements of Changes in Stockholders' Equity (Deficit) for the years ended December 31, 2025 and 2024</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F-5</w:t>
            </w:r>
          </w:p>
        </w:tc>
      </w:tr>
      <w:tr>
        <w:trPr/>
        <w:tc>
          <w:tcPr>
            <w:tcW w:w="8433"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Statements of Cash Flows for the years ended December 31, 2025 and 2024</w:t>
            </w:r>
          </w:p>
        </w:tc>
        <w:tc>
          <w:tcPr>
            <w:tcW w:w="82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F-6</w:t>
            </w:r>
          </w:p>
        </w:tc>
      </w:tr>
      <w:tr>
        <w:trPr/>
        <w:tc>
          <w:tcPr>
            <w:tcW w:w="84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Notes to the Financial Statements</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99745"/>
                <wp:effectExtent l="0" t="0" r="0" b="0"/>
                <wp:wrapNone/>
                <wp:docPr id="100" name="Frame86"/>
                <a:graphic xmlns:a="http://schemas.openxmlformats.org/drawingml/2006/main">
                  <a:graphicData uri="http://schemas.microsoft.com/office/word/2010/wordprocessingShape">
                    <wps:wsp>
                      <wps:cNvSpPr txBox="1"/>
                      <wps:spPr>
                        <a:xfrm>
                          <a:off x="0" y="0"/>
                          <a:ext cx="6480175" cy="49974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Azitra, Inc.</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Branford, CT</w:t>
      </w:r>
    </w:p>
    <w:p>
      <w:pPr>
        <w:pStyle w:val="TextBody"/>
        <w:bidi w:val="0"/>
        <w:spacing w:before="0" w:after="0"/>
        <w:jc w:val="left"/>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balance sheets of Azitra, Inc. (the “Company”) as of December 31, 2025 and 2024, and the related statements of operations, stockholders’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before="0" w:after="0"/>
        <w:jc w:val="both"/>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Substantial Doubt Regarding the Company’s Ability to Continue as a Going Concern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have been prepared assuming that Azitra, Inc., will continue as a going concern. As discussed in Note 1 to the financial statements, the Company’s significant operating losses raise substantial doubt regarding the entity’s ability to continue as a going concern. Management’s evaluation of the events and conditions, and management’s plans regarding those matters, are also described in Note 1. The financial statements do not include any adjustments that might result from the outcome of this uncertainty. Our opinion is not modified with respect to this matter.</w:t>
      </w:r>
    </w:p>
    <w:p>
      <w:pPr>
        <w:pStyle w:val="TextBody"/>
        <w:bidi w:val="0"/>
        <w:spacing w:before="0" w:after="0"/>
        <w:jc w:val="both"/>
        <w:rPr/>
      </w:pPr>
      <w:r>
        <w:rPr/>
      </w:r>
    </w:p>
    <w:p>
      <w:pPr>
        <w:pStyle w:val="TextBody"/>
        <w:bidi w:val="0"/>
        <w:spacing w:lineRule="auto" w:line="268" w:before="0" w:after="12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GRASSI &amp; CO., CPAs, P.C.</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2022.</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Jericho, New York</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1"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BALANCE SHEETS</w:t>
      </w:r>
    </w:p>
    <w:p>
      <w:pPr>
        <w:pStyle w:val="TextBody"/>
        <w:bidi w:val="0"/>
        <w:spacing w:before="0" w:after="120"/>
        <w:jc w:val="center"/>
        <w:rPr/>
      </w:pPr>
      <w:r>
        <w:rPr/>
      </w:r>
    </w:p>
    <w:p>
      <w:pPr>
        <w:pStyle w:val="TextBody"/>
        <w:bidi w:val="0"/>
        <w:spacing w:before="0" w:after="2"/>
        <w:jc w:val="left"/>
        <w:rPr/>
      </w:pPr>
      <w:r>
        <w:rPr/>
      </w:r>
    </w:p>
    <w:p>
      <w:pPr>
        <w:pStyle w:val="TextBody"/>
        <w:bidi w:val="0"/>
        <w:spacing w:before="0" w:after="0"/>
        <w:jc w:val="left"/>
        <w:rPr/>
      </w:pPr>
      <w:r>
        <w:rPr/>
      </w:r>
    </w:p>
    <w:tbl>
      <w:tblPr>
        <w:tblW w:w="8140" w:type="dxa"/>
        <w:jc w:val="left"/>
        <w:tblInd w:w="0" w:type="dxa"/>
        <w:tblLayout w:type="fixed"/>
        <w:tblCellMar>
          <w:top w:w="28" w:type="dxa"/>
          <w:left w:w="28" w:type="dxa"/>
          <w:bottom w:w="28" w:type="dxa"/>
          <w:right w:w="28" w:type="dxa"/>
        </w:tblCellMar>
      </w:tblPr>
      <w:tblGrid>
        <w:gridCol w:w="1561"/>
        <w:gridCol w:w="1377"/>
        <w:gridCol w:w="1381"/>
        <w:gridCol w:w="277"/>
        <w:gridCol w:w="1304"/>
        <w:gridCol w:w="143"/>
        <w:gridCol w:w="109"/>
        <w:gridCol w:w="109"/>
        <w:gridCol w:w="109"/>
        <w:gridCol w:w="275"/>
        <w:gridCol w:w="1294"/>
        <w:gridCol w:w="201"/>
      </w:tblGrid>
      <w:tr>
        <w:trPr/>
        <w:tc>
          <w:tcPr>
            <w:tcW w:w="15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3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1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7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2,068,083 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4,554,719 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Tax credits receivable</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140,383 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101,663 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offering costs</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4,106 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809,949 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567,569 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3,019,327</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5,228,290</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548,591 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653,957 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Financing lease right-of-use asset, net</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 net</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404,444 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527,393 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316,673 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246,420 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patent costs</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679,908 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593,802 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issuance costs</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37,477 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47,402 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46,941 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assets</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5,025,386</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7,358,802</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399,356 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490,255 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11,572 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financing lease liability</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liability</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255,776 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255,177 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Insurance premium financing liability</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198,983 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197,484 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602,787 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5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1,067,966</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1,375,857</w:t>
            </w:r>
            <w:r>
              <w:rPr>
                <w:color w:val="000000"/>
              </w:rPr>
              <w:t>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Long-term financing lease liability</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liability</w:t>
            </w:r>
          </w:p>
        </w:tc>
        <w:tc>
          <w:tcPr>
            <w:tcW w:w="15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156,190 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274,161 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Warrant liability</w:t>
            </w:r>
          </w:p>
        </w:tc>
        <w:tc>
          <w:tcPr>
            <w:tcW w:w="15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5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1,224,156</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1,660,504</w:t>
            </w: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Commitments and contingencies (Note 12)</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83895"/>
                <wp:effectExtent l="0" t="0" r="0" b="0"/>
                <wp:wrapNone/>
                <wp:docPr id="102" name="Frame88"/>
                <a:graphic xmlns:a="http://schemas.openxmlformats.org/drawingml/2006/main">
                  <a:graphicData uri="http://schemas.microsoft.com/office/word/2010/wordprocessingShape">
                    <wps:wsp>
                      <wps:cNvSpPr txBox="1"/>
                      <wps:spPr>
                        <a:xfrm>
                          <a:off x="0" y="0"/>
                          <a:ext cx="6480175" cy="683895"/>
                        </a:xfrm>
                        <a:prstGeom prst="rect"/>
                        <a:solidFill>
                          <a:srgbClr val="FFFFFF"/>
                        </a:solidFill>
                      </wps:spPr>
                      <wps:txb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center"/>
                        <w:rPr/>
                      </w:pPr>
                      <w:r>
                        <w:rPr/>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BALANCE SHEETS</w:t>
      </w:r>
    </w:p>
    <w:p>
      <w:pPr>
        <w:pStyle w:val="TextBody"/>
        <w:bidi w:val="0"/>
        <w:spacing w:before="0" w:after="120"/>
        <w:jc w:val="center"/>
        <w:rPr/>
      </w:pPr>
      <w:r>
        <w:rPr/>
      </w:r>
    </w:p>
    <w:p>
      <w:pPr>
        <w:pStyle w:val="TextBody"/>
        <w:bidi w:val="0"/>
        <w:spacing w:before="0" w:after="2"/>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10"/>
        <w:gridCol w:w="2294"/>
        <w:gridCol w:w="2305"/>
        <w:gridCol w:w="211"/>
        <w:gridCol w:w="991"/>
        <w:gridCol w:w="109"/>
        <w:gridCol w:w="109"/>
        <w:gridCol w:w="109"/>
        <w:gridCol w:w="109"/>
        <w:gridCol w:w="211"/>
        <w:gridCol w:w="991"/>
        <w:gridCol w:w="156"/>
      </w:tblGrid>
      <w:tr>
        <w:trPr/>
        <w:tc>
          <w:tcPr>
            <w:tcW w:w="2610"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10,000,000 shares authorized at December 31, 2025 and December 31, 2024; 0 shares issued at December 31, 2025 and December 31, 2024</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200,000,000 and 100,000,000 shares authorized at December 31, 2025 and December 31, 2024, respectively, 10,740,697 and 1,145,038 shares issued and outstanding at December 31, 2025 and December 31, 2024,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72,321,352 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63,264,009 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(68,521,196)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(57,565,825)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3,801,230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5,698,298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5,025,386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7,358,802</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30835"/>
                <wp:effectExtent l="0" t="0" r="0" b="0"/>
                <wp:wrapNone/>
                <wp:docPr id="103" name="Frame89"/>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F-3</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F-3</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STATEMENTS OF OPERATIONS</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33"/>
        <w:gridCol w:w="1568"/>
        <w:gridCol w:w="1579"/>
        <w:gridCol w:w="109"/>
        <w:gridCol w:w="109"/>
        <w:gridCol w:w="109"/>
        <w:gridCol w:w="109"/>
        <w:gridCol w:w="109"/>
        <w:gridCol w:w="167"/>
        <w:gridCol w:w="167"/>
        <w:gridCol w:w="167"/>
        <w:gridCol w:w="167"/>
        <w:gridCol w:w="325"/>
        <w:gridCol w:w="1777"/>
        <w:gridCol w:w="167"/>
        <w:gridCol w:w="109"/>
        <w:gridCol w:w="109"/>
        <w:gridCol w:w="109"/>
        <w:gridCol w:w="211"/>
        <w:gridCol w:w="1045"/>
        <w:gridCol w:w="160"/>
      </w:tblGrid>
      <w:tr>
        <w:trPr/>
        <w:tc>
          <w:tcPr>
            <w:tcW w:w="1833"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7"/>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1743" w:type="dxa"/>
            <w:gridSpan w:val="6"/>
            <w:tcBorders/>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Service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7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6,130,657 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6,269,262 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4,836,008 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4,723,378 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10,966,665 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10,992,640 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(10,966,665)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(10,985,140)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70,209 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122,553 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(7,587)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4,034,072 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(2,132,800)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(43,389)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19,614 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2,026,679 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(10,947,051)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(8,958,461)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(8,319)</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2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(10,955,370)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(8,967,492)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77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common stock outstanding,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4,873,552 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571,162 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30835"/>
                <wp:effectExtent l="0" t="0" r="0" b="0"/>
                <wp:wrapNone/>
                <wp:docPr id="104" name="Frame90"/>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F-4</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F-4</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STATEMENTS OF CHANGES IN STOCKHOLDERS' EQUITY </w:t>
      </w:r>
    </w:p>
    <w:tbl>
      <w:tblPr>
        <w:tblW w:w="15204" w:type="dxa"/>
        <w:jc w:val="left"/>
        <w:tblInd w:w="0" w:type="dxa"/>
        <w:tblLayout w:type="fixed"/>
        <w:tblCellMar>
          <w:top w:w="28" w:type="dxa"/>
          <w:left w:w="28" w:type="dxa"/>
          <w:bottom w:w="28" w:type="dxa"/>
          <w:right w:w="28" w:type="dxa"/>
        </w:tblCellMar>
      </w:tblPr>
      <w:tblGrid>
        <w:gridCol w:w="586"/>
        <w:gridCol w:w="344"/>
        <w:gridCol w:w="346"/>
        <w:gridCol w:w="109"/>
        <w:gridCol w:w="109"/>
        <w:gridCol w:w="109"/>
        <w:gridCol w:w="109"/>
        <w:gridCol w:w="330"/>
        <w:gridCol w:w="330"/>
        <w:gridCol w:w="331"/>
        <w:gridCol w:w="109"/>
        <w:gridCol w:w="225"/>
        <w:gridCol w:w="225"/>
        <w:gridCol w:w="226"/>
        <w:gridCol w:w="109"/>
        <w:gridCol w:w="109"/>
        <w:gridCol w:w="109"/>
        <w:gridCol w:w="226"/>
        <w:gridCol w:w="436"/>
        <w:gridCol w:w="119"/>
        <w:gridCol w:w="109"/>
        <w:gridCol w:w="109"/>
        <w:gridCol w:w="109"/>
        <w:gridCol w:w="547"/>
        <w:gridCol w:w="549"/>
        <w:gridCol w:w="471"/>
        <w:gridCol w:w="225"/>
        <w:gridCol w:w="225"/>
        <w:gridCol w:w="226"/>
        <w:gridCol w:w="269"/>
        <w:gridCol w:w="806"/>
        <w:gridCol w:w="141"/>
        <w:gridCol w:w="109"/>
        <w:gridCol w:w="109"/>
        <w:gridCol w:w="109"/>
        <w:gridCol w:w="211"/>
        <w:gridCol w:w="1096"/>
        <w:gridCol w:w="109"/>
        <w:gridCol w:w="260"/>
        <w:gridCol w:w="260"/>
        <w:gridCol w:w="261"/>
        <w:gridCol w:w="211"/>
        <w:gridCol w:w="1096"/>
        <w:gridCol w:w="109"/>
        <w:gridCol w:w="109"/>
        <w:gridCol w:w="109"/>
        <w:gridCol w:w="109"/>
        <w:gridCol w:w="211"/>
        <w:gridCol w:w="991"/>
        <w:gridCol w:w="109"/>
        <w:gridCol w:w="109"/>
        <w:gridCol w:w="109"/>
        <w:gridCol w:w="109"/>
        <w:gridCol w:w="109"/>
        <w:gridCol w:w="109"/>
        <w:gridCol w:w="109"/>
        <w:gridCol w:w="109"/>
        <w:gridCol w:w="109"/>
        <w:gridCol w:w="109"/>
        <w:gridCol w:w="109"/>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8"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 </w:t>
            </w:r>
            <w:r>
              <w:rPr>
                <w:rFonts w:ascii="Times New Roman;serif" w:hAnsi="Times New Roman;serif"/>
                <w:b/>
                <w:color w:val="000000"/>
                <w:sz w:val="20"/>
              </w:rPr>
              <w:t>Preferred Stock</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Additional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Paid-in-Capital</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vMerge w:val="restart"/>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 Stockholders' Equity</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vMerge w:val="continue"/>
            <w:tcBorders/>
            <w:tcMar>
              <w:top w:w="0" w:type="dxa"/>
              <w:left w:w="0" w:type="dxa"/>
              <w:bottom w:w="0" w:type="dxa"/>
              <w:right w:w="0" w:type="dxa"/>
            </w:tcMar>
            <w:vAlign w:val="center"/>
          </w:tcPr>
          <w:p>
            <w:pPr>
              <w:pStyle w:val="Normal"/>
              <w:bidi w:val="0"/>
              <w:jc w:val="left"/>
              <w:rPr/>
            </w:pPr>
            <w:r>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Shares</w:t>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60,535</w:t>
            </w:r>
            <w:r>
              <w:rPr>
                <w:color w:val="000000"/>
              </w:rPr>
              <w:t>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51,511,473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(48,598,333)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2,913,146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Follow-on public offering, net of issuance costs of $709,426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83,403 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4,290,666 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4,290,674 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Follow-on public offering issuance costs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Follow-on public offering, net of issuance costs of $933,960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1,000,750 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9,063,440 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9,063,540 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Reclass of warrant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(1,866,200)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(1,866,200)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(8,967,492)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(8,967,492)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1,145,038</w:t>
            </w:r>
            <w:r>
              <w:rPr>
                <w:color w:val="000000"/>
              </w:rPr>
              <w:t>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114</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63,264,009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(57,565,825)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5,698,298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Follow-on public offering, net of issuance costs of $269,948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729,381 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1,186,973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Follow-on public offering, net of issuance costs of $133,076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374,696 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561,713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Private Placement, net of issuance costs of $157,575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535,759 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1,342,329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Draws on equity line of credit, net of issuance costs of $79,985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7,955,823 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5,941,511 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5,942,307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62,744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Offering costs and other miscellaneous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(37,764)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(10,955,370)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(10,955,370)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10,740,697</w:t>
            </w:r>
            <w:r>
              <w:rPr>
                <w:color w:val="000000"/>
              </w:rPr>
              <w:t> </w:t>
            </w:r>
          </w:p>
        </w:tc>
        <w:tc>
          <w:tcPr>
            <w:tcW w:w="4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1,074</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72,321,351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(68,521,195)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3,801,230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0" w:type="dxa"/>
            <w:gridSpan w:val="26"/>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Amounts in the Condensed Statements of Changes in Stockholders' may not foot due to rounding</w:t>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30835"/>
                <wp:effectExtent l="0" t="0" r="0" b="0"/>
                <wp:wrapNone/>
                <wp:docPr id="105" name="Frame91"/>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F-5</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F-5</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STATEMENTS OF CASH FLOWS </w:t>
      </w:r>
    </w:p>
    <w:tbl>
      <w:tblPr>
        <w:tblW w:w="9549" w:type="dxa"/>
        <w:jc w:val="right"/>
        <w:tblInd w:w="0" w:type="dxa"/>
        <w:tblLayout w:type="fixed"/>
        <w:tblCellMar>
          <w:top w:w="28" w:type="dxa"/>
          <w:left w:w="28" w:type="dxa"/>
          <w:bottom w:w="28" w:type="dxa"/>
          <w:right w:w="28" w:type="dxa"/>
        </w:tblCellMar>
      </w:tblPr>
      <w:tblGrid>
        <w:gridCol w:w="2289"/>
        <w:gridCol w:w="2014"/>
        <w:gridCol w:w="2027"/>
        <w:gridCol w:w="211"/>
        <w:gridCol w:w="1156"/>
        <w:gridCol w:w="109"/>
        <w:gridCol w:w="109"/>
        <w:gridCol w:w="109"/>
        <w:gridCol w:w="109"/>
        <w:gridCol w:w="211"/>
        <w:gridCol w:w="1051"/>
        <w:gridCol w:w="154"/>
      </w:tblGrid>
      <w:tr>
        <w:trPr/>
        <w:tc>
          <w:tcPr>
            <w:tcW w:w="2289"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(10,955,370)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(8,967,492)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131,188 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lease modification</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315,075 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317,047 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Change in foreign currency rates on remeasurement of Canadian fixed assets </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245,053 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liability</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(4,034,072)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issuance of common stock</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2,132,800 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disposal of property and equipment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 and deferred patent costs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442,793 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98,022 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(119,312)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Tax credits receivable</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payable/receivable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(140,535)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(304,913)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(315,840)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(11,224,125)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(10,183,740)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(8,569)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patent costs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(161,849)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(370,677)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(379,246)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offering/issuance costs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public offerings, net</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1,748,686 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13,354,691 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30835"/>
                <wp:effectExtent l="0" t="0" r="0" b="0"/>
                <wp:wrapNone/>
                <wp:docPr id="106" name="Frame92"/>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F-6</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F-6</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STATEMENTS OF CASH FLOWS </w:t>
      </w:r>
    </w:p>
    <w:tbl>
      <w:tblPr>
        <w:tblW w:w="9279" w:type="dxa"/>
        <w:jc w:val="right"/>
        <w:tblInd w:w="0" w:type="dxa"/>
        <w:tblLayout w:type="fixed"/>
        <w:tblCellMar>
          <w:top w:w="28" w:type="dxa"/>
          <w:left w:w="28" w:type="dxa"/>
          <w:bottom w:w="28" w:type="dxa"/>
          <w:right w:w="28" w:type="dxa"/>
        </w:tblCellMar>
      </w:tblPr>
      <w:tblGrid>
        <w:gridCol w:w="2284"/>
        <w:gridCol w:w="2009"/>
        <w:gridCol w:w="2022"/>
        <w:gridCol w:w="211"/>
        <w:gridCol w:w="976"/>
        <w:gridCol w:w="109"/>
        <w:gridCol w:w="109"/>
        <w:gridCol w:w="109"/>
        <w:gridCol w:w="109"/>
        <w:gridCol w:w="211"/>
        <w:gridCol w:w="976"/>
        <w:gridCol w:w="154"/>
      </w:tblGrid>
      <w:tr>
        <w:trPr/>
        <w:tc>
          <w:tcPr>
            <w:tcW w:w="2284"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private placement,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equity line of credit,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5,942,307 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Repayment of insurance premium financing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(96,577)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r>
              <w:rPr>
                <w:rFonts w:ascii="Times New Roman;serif" w:hAnsi="Times New Roman;serif"/>
                <w:b w:val="false"/>
                <w:color w:val="000000"/>
                <w:sz w:val="20"/>
              </w:rPr>
              <w:t>Net cash provided by financing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8,920,398 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13,321,716 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(2,486,636)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2,758,730 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1,795,989 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2,068,083 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4,554,719 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Supplemental disclosure of non-cash investing and financing information:</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Financed insurance premium exchanged for prepaid insurance</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295,560 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Purchases of fixed assets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30835"/>
                <wp:effectExtent l="0" t="0" r="0" b="0"/>
                <wp:wrapNone/>
                <wp:docPr id="107" name="Frame93"/>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F-7</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F-7</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 Organization and Nature of Operations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Azitra, Inc. (the "Company") was founded on January 2, 2014. We are a synthetic biology company focused on screening and genetically engineering microbes of the skin. The mission is to discover and develop novel therapeutics to create a new paradigm for treating skin disease. The Company’s discovery platform is screened for naturally occurring bacterial cells with beneficial effects. These microbes are then genomically sequenced and engineered to make cellular therapies, recombinant therapeutic proteins, peptides and small molecules for precision treatment of dermatology diseases. On May 17, 2023, the Company changed its name to from “Azitra Inc” to “Azitra, Inc.”</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addition to our corporate headquarters located in Branford, Connecticut, the Company maintains a location in Montreal, Canada for certain research activities. The Company also opened a manufacturing and laboratory space in Groton, Connecticut during 2021.</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Stock Splits, Change in Par Value, Increase in Shares Authorized, Initial and Follow-on Public Offerings, and Equity Line of Credit Issuances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June 2023, the Company completed its initial public offering (IPO) in which it issued and sold 7,508 shares of its common stock at a price to the public of $999.00 per share. The shares began trading on the NYSE American on June 16, 2023 under the symbol “AZTR”. The net proceeds received by the Company from the IPO were $6.0 million, after deducting underwriting discounts, commissions and other offering expenses.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Immediately prior to the effectiveness of the Company’s registration statement, the Company effected a 7.1-for-1 forward stock split (the "Forward Stock Split") of its issued and outstanding shares of common stock. On May 17, 2023, the Company changed the par value of its capital stock from $0.01 to $0.0001. Accordingly, all share and per share amounts for all periods presented in the accompanying audited condensed financial statements and notes thereto have been adjusted retroactively, unless otherwise noted, to reflect the effect of the Forward Stock Split. Refer to Note 6 for additional details relating to the Forward Stock Split.</w:t>
      </w:r>
    </w:p>
    <w:p>
      <w:pPr>
        <w:pStyle w:val="TextBody"/>
        <w:bidi w:val="0"/>
        <w:spacing w:lineRule="auto" w:line="256" w:before="0" w:after="160"/>
        <w:jc w:val="both"/>
        <w:rPr>
          <w:rFonts w:ascii="Times New Roman;serif" w:hAnsi="Times New Roman;serif"/>
          <w:b w:val="false"/>
          <w:color w:val="000000"/>
          <w:sz w:val="20"/>
        </w:rPr>
      </w:pPr>
      <w:r>
        <w:rPr>
          <w:rFonts w:ascii="Times New Roman;serif" w:hAnsi="Times New Roman;serif"/>
          <w:b w:val="false"/>
          <w:color w:val="000000"/>
          <w:sz w:val="20"/>
        </w:rPr>
        <w:t>In February 2024, the Company completed a follow-on public offering (the "February 2024 Offering") in which it issued and sold 83,404 shares of its common stock at a price to the public of $59.94 per share. The net proceeds received by the Company from the follow-on public offering were $4.3 million, after deducting underwriting discounts, commissions and other offering expenses. For further information regarding the February 2024 Offering and related warrant issuance, refer to Notes 6 and 7, respectively.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July 1, 2024, the Company effected a 30-for-1 reverse stock split of its issued and outstanding shares of common stock (the "2024 Reverse Stock Split") and began trading on a split-adjusted basis the same day. There was no change in par value. Accordingly, all share and per share amounts for all periods presented in the accompanying audited condensed financial statements and notes thereto have been adjusted retroactively, where applicable, to reflect the effect of the 2024 Reverse Stock Split. Refer to Note 6 for additional details relating to the Reverse Stock Split.</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July 2024, the Company completed a follow-on public offering (the "July 2024 Offering") in which it issued and sold 1,000,750 shares of its common stock at a price of $9.99 per share and Class A Warrants exercisable for an aggregate 2,001,502 shares of common stock. The net proceeds received by the Company from the follow-on public offering were $9.1 million, after deducting placement agent's fees and other offering expenses. For further information regarding the July 2024 Offering and related warrant issuance, refer to Notes 6 and 7, respectively.</w:t>
      </w:r>
    </w:p>
    <w:p>
      <w:pPr>
        <w:pStyle w:val="TextBody"/>
        <w:bidi w:val="0"/>
        <w:spacing w:lineRule="auto" w:line="300" w:before="160" w:after="160"/>
        <w:jc w:val="both"/>
        <w:rPr>
          <w:rFonts w:ascii="Times New Roman;serif" w:hAnsi="Times New Roman;serif"/>
          <w:b w:val="false"/>
          <w:color w:val="000000"/>
          <w:sz w:val="20"/>
        </w:rPr>
      </w:pPr>
      <w:r>
        <w:rPr>
          <w:rFonts w:ascii="Times New Roman;serif" w:hAnsi="Times New Roman;serif"/>
          <w:b w:val="false"/>
          <w:color w:val="000000"/>
          <w:sz w:val="20"/>
        </w:rPr>
        <w:t>In January 2025, the Company completed a follow-on offering (the "January 2025 Offering") in which it issued and sold 729,381 shares of its common stock at a price of $2.00 per share. The net proceeds received by the Company from the follow-on offering were $1.2 million, after deducting placement agent's fees and other offering expenses. The shares were offered by the Company pursuant to a shelf registration statement on Form S-3 filed with the SEC on July 1, 2024, and a final prospectus supplement dated January 15, 2025. For further information regarding the January 2025 Offering, refer to Notes 6 and 7 respectively.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completed a follow-on offering (the "February 2025 Offering") in which it issued 374,696 shares of its common stock at a public offering price of $1.85 per share and warrants to purchase up to 337,232 shares of common stock at an exercise price of $3.60. The net proceeds received by the Company from the follow-on offering were $560,976 after deducting placement agent's fees and other offering expenses. The shares were offered by the Company pursuant to a shelf registration statement on Form S-3 filed with the SEC on July 1, 2024, and a final prospectus supplement dated February 6, 2025. For further information regarding the February 2025 Offering and related warrant issuance, refer to Notes 6 and 7, respectively.</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30835"/>
                <wp:effectExtent l="0" t="0" r="0" b="0"/>
                <wp:wrapNone/>
                <wp:docPr id="108" name="Frame94"/>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F-8</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F-8</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April 24, 2025, the Company entered into an Equity Line of Credit ("ELOC") with Alumni Capital LP ("Alumni Capital"), whereby the Company has the right, but not the obligation, to sell to Alumni Capital, and Alumni Capital is obligated to purchase, up to an aggregate of $20 million of shares of the Company's common stock in a series of purchases. Upon each purchase, Alumni Capital will receive warrants to purchase shares of the Company's common stock equal to 10% of the number of shares purchased in the related purchase. For further information regarding the ELOC, refer to Notes 6 and 7 respectively.</w:t>
      </w:r>
    </w:p>
    <w:p>
      <w:pPr>
        <w:pStyle w:val="TextBody"/>
        <w:bidi w:val="0"/>
        <w:spacing w:lineRule="auto" w:line="300" w:before="160" w:after="160"/>
        <w:jc w:val="both"/>
        <w:rPr>
          <w:rFonts w:ascii="Times New Roman;serif" w:hAnsi="Times New Roman;serif"/>
          <w:b w:val="false"/>
          <w:color w:val="000000"/>
          <w:sz w:val="20"/>
        </w:rPr>
      </w:pPr>
      <w:r>
        <w:rPr>
          <w:rFonts w:ascii="Times New Roman;serif" w:hAnsi="Times New Roman;serif"/>
          <w:b w:val="false"/>
          <w:color w:val="000000"/>
          <w:sz w:val="20"/>
        </w:rPr>
        <w:t>Under the terms of the ELOC, the Company has issued 9,255,823 shares of common stock, of which 1,300,000 shares were issued subsequent to December 31, 2025, and issued 895,579 warrants, of which 100,000 warrants were issued subsequent to December 31, 2025. The gross proceeds received by the Company under the ELOC were $6.2 million, of which $0.2 million was received subsequent to December 31, 2025. As of February 26, 2026, approximately $13.8 million is available under the ELOC for future share issuances.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July 2025, the Company amended and restated its Certificate of Incorporation increasing the number of authorized shares of common stock from 100,000,000 to 200,000,000.</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August 21, 2025, the Company effected a 6.66-for-1 reverse stock split of its issued and outstanding shares of common stock (the "2025 Reverse Stock Split") and began trading on a split-adjusted basis the same day. There was no change in par value. Accordingly, all share and per share amounts for all periods presented in the accompanying audited condensed financial statements and notes thereto have been adjusted retroactively, where applicable, to reflect the effect of the 2025 Reverse Stock Split. Refer to Note 6 for additional details relating to the 2024 Reverse Stock Split, and the 2025 Reverse Stock Split (together, the "Reverse Stock Splits").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November 24, 2025, the Company entered into a securities purchase agreement (the “Purchase Agreement”) with Alumni Capital pursuant to which the Company agreed to issue and sell to Alumni Capital in a private placement offering (the "PIPE Offering") priced at a premium to market in accordance with NYSE rules (the “Offering”) an aggregate of 535,759 shares of common stock of the Company, (ii) pre-funded warrants (the “Pre-Funded Warrants”) to purchase up to an aggregate of 4,151,741 shares of Common Stock (the “Pre-Funded Warrants Shares”) at an exercise price of $0.0001 per Pre-Funded Warrant, and (iii) common stock purchase warrants (the “Common Warrants” together with the Pre-Funded Warrants, the “Warrants”) to purchase up to an aggregate of 4,687,500 shares of Common Stock (the “Common Warrant Shares” together with the Pre-Funded Warrant Shares, the “Warrant Shares”) at an exercise price of $0.32 per Common Warrant. The offering price was $0.32 per share of Common Stock or Pre-Funded Warrant and accompanying Common Warrant (the “Offering Price”). The Pre-Funded Warrants are immediately exercisable and do not expire until exercised in full. The Common Warrants are exercisable upon shareholder approval and will expire on the five-year anniversary of shareholder approval. For further information regarding the PIPE Offering, refer to Notes 6 and 7 respectively.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As of February 26, 2026, all Pre-Funded Warrants have been exercised by Alumni Capital.</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Other Events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October 1, 2025, the Company received a deficiency letter (the “Deficiency Letter”) from the NYSE American LLC ("NYSE American") indicating that the Company is not in compliance with the NYSE American continued listing standards set forth in Section 1003(a)(ii) of the NYSE American Company Guide. Section 1003(a)(ii) of the NYSE American Company Guide requires a listed company’s stockholders’ equity be at least $4.0 million if it has reported losses from continuing operations and/or net losses in three of its four most recent fiscal years. The Deficiency Letter noted that the Company reported stockholders’ equity of $2.2 million as of June 30, 2025, and losses from continuing operations and/or net losses in three of its four most recent fiscal years ended December 31, 2024.</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order to maintain the Company’s listing on the NYSE American, the NYSE American requested that the Company submit a plan of compliance (the “Plan”) by October 31, 2025 addressing how the Company intends to regain compliance with Section 1003(a)(ii) of the NYSE American Company Guide by April 1, 2027.</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submitted the Plan to the NYSE American by the October 31, 2025 deadline which was accepted by the NYSE American on December 16, 2025. If the Company does not make progress consistent with the Plan during the plan period or if the Company is not in compliance with the listing standards by April 1, 2027, then the Company will be subject to delisting procedures as set forth in the NYSE American Company Guide.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undertaking a transaction or transactions in the future to achieve compliance with the NYSE American’s requirements. There can be no assurance that the Company will be able to achieve compliance with the NYSE American’s continued listing standards within the required time frame.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30835"/>
                <wp:effectExtent l="0" t="0" r="0" b="0"/>
                <wp:wrapNone/>
                <wp:docPr id="109" name="Frame95"/>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F-9</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F-9</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Going Concern Matters</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financial statements have been prepared on the going concern basis, which assumes that the Company will continue in operation for the foreseeable future, and which contemplates the realization of assets and liquidation of liabilities in the normal course of business. However, management has identified the following conditions and events that created an uncertainty about the ability of the Company to continue as a going concern. As of and for the year ended December 31, 2025, the Company has an accumulated deficit of $68.5 million, a loss from operations of $11.0 million, used $11.2 million to fund operations and had $2.0 million of working capital. These factors among others raise substantial doubt about the Company’s ability to continue as a going concern.</w:t>
      </w:r>
    </w:p>
    <w:p>
      <w:pPr>
        <w:pStyle w:val="TextBody"/>
        <w:bidi w:val="0"/>
        <w:spacing w:lineRule="auto" w:line="300"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will require a significant amount of additional funds to complete the development of its product and to fund additional losses which the Company expects to incur over the next few years. The Company is still in its pre-commercialization phase and therefore does not yet have product revenue. Management plans to continue to raise funds through equity and/or debt financing to fund operating and working capital needs, however, there can be no assurance that the Company will be successful in securing additional financing, if needed, to meet its operating needs.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These conditions and events create substantial doubt about the ability of the Company to continue as a going concern for twelve months from the date that the financial statements are available to be issued. The financial statements do not include any adjustments that might be necessary should the Company be unable to continue as a going concern.</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Basis of Accounting</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the Company are prepared in accordance with United States generally accepted accounting principles (“U.S. GAAP”). Certain amounts in the condensed financial statements and associated notes may not add up due to rounding.</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Reclassification and Revision of Prior Period Financial Statements</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and disclosures have been reclassified to conform to the current period's financial presentation.</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preparation of the financial statement in conformity with U.S. GAAP requires management to make estimates and assumptions that affect the reported amounts of assets and liabilities at the date of the balance sheet. While management believes the estimates and assumptions used in the preparation of the financial statement are appropriate, actual results could differ from those estimates. The most significant estimates in the Company's financial statements relate to accruals for research and development expenses, valuation of warrants and valuation of equity awards. These estimates and assumptions are based on current facts, historical experience and various other factors believed to be reasonable under the circumstances, the results of which form the basis for making judgements about the carrying values of assets and liabilities and the recording of expenses that are not readily apparent from other sources.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Concentration of Credit Risks and other Risks and Uncertainties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Financial instruments, which potentially subject the Company to significant concentrations of risk, consist principally of cash and cash equivalents. The Company’s cash is deposited with a federally insured U.S. financial institution. The Company has no off-balance sheet concentrations of credit risk, such as foreign currency exchange contracts, option contracts or other hedging arrangements.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is dependent on contract research organizations ("CRO") to conduct, and manage our on-going clinical trials, and contract manufacturing organizations (“CMO”) to supply products for research and development of its product candidates, including preclinical and clinical studies, and for commercialization of its product candidates, if approved. The Company’s development programs could be adversely affected by any significant interruption in either the CRO's or the CMO’s operations or by a significant interruption in the supply of active pharmaceutical ingredients and other components.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Products developed by the Company require approval from the U.S. Food and Drug Administration (“FDA”) or other international regulatory agencies prior to commercial sales. There can be no assurance the Company’s product candidates will receive the necessary approvals. If the Company is denied approvals, approvals are delayed, or the Company is unable to maintain approvals received, such events could have a materially adverse impact on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30835"/>
                <wp:effectExtent l="0" t="0" r="0" b="0"/>
                <wp:wrapNone/>
                <wp:docPr id="110" name="Frame96"/>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operates and manages its business as one operating segment, which is to discover and develop novel therapeutics to create a new paradigm for treating skin diseases. The Chief Executive Officer, who is the Chief Operating Decision Maker ("CODM"), reviews financial information on an aggregate basis, along with cash balances for purposes of allocating resources and evaluating performance. For additional segment disclosures, see Note 16.</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For purposes of the balance sheets and statements of cash flows, the Company considers all cash on hand, demand deposits and all highly liquid investments with original maturities of three months or less to be cash equivalents.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Depreciation is computed using the straight-line method over the estimated useful lives, which range from 3 to 10 years. Expenditures for maintenance and repairs, which do not extend the economic useful life of the related assets, are charged to operations as incurred. Gains or losses on disposal of property and equipment are reflected in the statements of operations in the period of disposal.</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Deferred Offering and Deferred Issuance Costs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capitalizes deferred offering costs, which primarily consists of direct, incremental legal, professional, accounting, and other third-party fees relating to the Company’s public offering initiatives associated with the filing of an S-1 Registration Statement. Once the Company completes the public offering, the Company records these amounts against the gross proceeds of these public offerings within the statements of stockholders’ equity.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July 2024, the Company also filed a Form S-3 Registration Statement and recorded deferred issuance costs as a long-term asset. In September 2025, the Company wrote off the remaining deferred issuance costs of $35,435 as it was uncertain the Company would be able to issue additional shares against the Form S-3 Registration Statement. The write-off resulted in a reduction to additional paid-in capital.</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to account for non-lease components as part of the lease component to which they relate. Lease accounting involves significant judgments, including making estimates related to the lease term, lease payments, and discount rate. In accordance with the guidance, the Company recognized ROU assets and lease liabilities for all leases with a term greater than 12 months. Leases are classified as either operating or financing leases based on the economic substance of the agreement. </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has 3 operating leases for buildings with a ROU asset and lease liability totaling $1,418,502. The basis, terms and conditions of the leases are determined by the individual agreements. The Company’s option to extend certain leases ranges from 36 – 52 months. All options to extend have been included in the calculation of the ROU asset and lease liability. The leases do not contain residual value guarantees, restrictions, or covenants that could incur additional financial obligations to the Company. There are no subleases, sale-leaseback, or related party transactions.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At December 31, 2025, the Company had operating right-of-use assets with a net value of $404,444 and current and long-term operating lease liabilities of $255,776 and $156,190, respectively.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2023, the Company entered into a lease for the use of certain equipment that is classified as a finance lease. The finance lease has a term of 36 months. At December 31, 2025, the Company had financing right-of-use assets with a net value of $9,041 and current and long-term operating lease liabilities of $10,111 and $—,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30835"/>
                <wp:effectExtent l="0" t="0" r="0" b="0"/>
                <wp:wrapNone/>
                <wp:docPr id="111" name="Frame97"/>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F-11</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F-11</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trademarks and patents. All costs directly related to the filing and prosecution of patent and trademark applications are capitalized. Patents are amortized over their respective remaining useful lives upon formal approval. Trademarks have an indefinite life.</w:t>
      </w:r>
    </w:p>
    <w:p>
      <w:pPr>
        <w:pStyle w:val="TextBody"/>
        <w:bidi w:val="0"/>
        <w:spacing w:lineRule="auto" w:line="300" w:before="0" w:after="160"/>
        <w:jc w:val="both"/>
        <w:rPr/>
      </w:pPr>
      <w:r>
        <w:rPr>
          <w:rFonts w:ascii="Times New Roman;serif" w:hAnsi="Times New Roman;serif"/>
          <w:b w:val="false"/>
          <w:color w:val="000000"/>
          <w:sz w:val="20"/>
        </w:rPr>
        <w:t xml:space="preserve">The Company accounts for other indefinite life intangible assets in accordance ASC Topic 350, </w:t>
      </w:r>
      <w:r>
        <w:rPr>
          <w:rFonts w:ascii="Times New Roman;serif" w:hAnsi="Times New Roman;serif"/>
          <w:b w:val="false"/>
          <w:i/>
          <w:color w:val="000000"/>
          <w:sz w:val="20"/>
        </w:rPr>
        <w:t>Goodwill and Other Intangible Assets</w:t>
      </w:r>
      <w:r>
        <w:rPr>
          <w:color w:val="000000"/>
        </w:rPr>
        <w:t xml:space="preserve"> </w:t>
      </w:r>
      <w:r>
        <w:rPr>
          <w:rFonts w:ascii="Times New Roman;serif" w:hAnsi="Times New Roman;serif"/>
          <w:b w:val="false"/>
          <w:color w:val="000000"/>
          <w:sz w:val="20"/>
        </w:rPr>
        <w:t>(ASC 350). ASC 350 requires that intangible assets that have indefinite lives are required to be tested at least annually for impairment or whenever events or changes in circumstances indicate that the carrying amount may not be recoverable. Intangible assets that have finite lives will continue to be amortized over their useful lives.</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Deferred Patent Costs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Deferred patent costs represent legal and filing expenses incurred related to the submission of patent applications for patents pending approval. These deferred costs will be reclassed to intangible assets and begin to be amortized over their estimated useful lives upon the formal approval of the patent. If the patent is not issued, the costs associated with the patent will be expensed in the year the patent was rejected. Deferred patent costs are reviewed for impairment at each reporting period. The costs associated with any impairment are expensed in the period the deferred patent costs are determined to be impaired. In connection with its review of the financial statements, the Company recorded impairment expenses of $442,793 during the twelve months ended December 31, 2024. The Company did not record impairment expenses during the twelve months ended December 31, 2025.</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Impairment of Long-Lived Assets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accordance with ASC Topic 360-10, Accounting for the Impairment or Disposal of Long-Lived Assets (ASC 360-10), the Company’s policy is to review its long-lived assets for impairment whenever events or changes in circumstances indicate that the carrying amount of an asset may not be recoverable. In connection with this review, the Company also reevaluates the periods of depreciation for these assets. The Company recognizes an impairment loss when the sum of the undiscounted expected future cash flows from the use and eventual disposition of the asset is less than its carrying amount. If an asset is considered to be impaired, the impairment to be recognized is measured by the amount by which the carrying amount of the asset exceeds the fair value of the asset, which is determined using the present value of the net future operating cash flows generated by the asset.</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Accrued Expenses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accrues expenses related to development activities performed by third parties based on an evaluation of services received and efforts expended pursuant to the terms of the contractual arrangements. Payments under some of these contracts depend on research and non-clinical trial milestones. There may be instances in which payments made to the Company’s vendors will exceed the level of services provided and result in a prepayment of expense. In accruing service fees, the Company estimates the period over which services will be performed and the level of effort to be expended in each period. If the actual timing of the performance of services or the level of effort varies from the estimate, the Company will adjust the accrual or prepaid expense accordingly. The Company has not experienced any material differences between accrued costs and actual costs incurred since its inception.</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Warrant Accounting</w:t>
      </w:r>
    </w:p>
    <w:p>
      <w:pPr>
        <w:pStyle w:val="TextBody"/>
        <w:bidi w:val="0"/>
        <w:spacing w:lineRule="auto" w:line="300" w:before="0" w:after="160"/>
        <w:jc w:val="both"/>
        <w:rPr/>
      </w:pPr>
      <w:r>
        <w:rPr>
          <w:rFonts w:ascii="Times New Roman;serif" w:hAnsi="Times New Roman;serif"/>
          <w:b w:val="false"/>
          <w:color w:val="000000"/>
          <w:sz w:val="20"/>
        </w:rPr>
        <w:t>The Company accounts for warrants as either equity-classified or liability-classified instruments based on an assessment of the warrant’s specific terms and applicable authoritative guidance in ASC 480,</w:t>
      </w:r>
      <w:r>
        <w:rPr>
          <w:color w:val="000000"/>
        </w:rPr>
        <w:t xml:space="preserve"> </w:t>
      </w:r>
      <w:r>
        <w:rPr>
          <w:rFonts w:ascii="Times New Roman;serif" w:hAnsi="Times New Roman;serif"/>
          <w:b w:val="false"/>
          <w:i/>
          <w:color w:val="000000"/>
          <w:sz w:val="20"/>
        </w:rPr>
        <w:t xml:space="preserve">Distinguishing Liabilities from Equity </w:t>
      </w:r>
      <w:r>
        <w:rPr>
          <w:rFonts w:ascii="Times New Roman;serif" w:hAnsi="Times New Roman;serif"/>
          <w:b w:val="false"/>
          <w:color w:val="000000"/>
          <w:sz w:val="20"/>
        </w:rPr>
        <w:t xml:space="preserve">(“ASC 480”) and ASC 815,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For issued warrants that meet all of the criteria for equity classification, the warrants are required to be recorded as a component of additional paid-in capital at the time of issuance. For issued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 under Other Income/loss.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30835"/>
                <wp:effectExtent l="0" t="0" r="0" b="0"/>
                <wp:wrapNone/>
                <wp:docPr id="112" name="Frame98"/>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F-12</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F-12</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300" w:before="0" w:after="160"/>
        <w:jc w:val="both"/>
        <w:rPr/>
      </w:pPr>
      <w:r>
        <w:rPr>
          <w:rFonts w:ascii="Times New Roman;serif" w:hAnsi="Times New Roman;serif"/>
          <w:b w:val="false"/>
          <w:color w:val="000000"/>
          <w:sz w:val="20"/>
        </w:rPr>
        <w:t xml:space="preserve">The Company follows the </w:t>
      </w:r>
      <w:r>
        <w:rPr>
          <w:rFonts w:ascii="Times New Roman;serif" w:hAnsi="Times New Roman;serif"/>
          <w:b w:val="false"/>
          <w:i/>
          <w:color w:val="000000"/>
          <w:sz w:val="20"/>
        </w:rPr>
        <w:t>five</w:t>
      </w:r>
      <w:r>
        <w:rPr>
          <w:color w:val="000000"/>
        </w:rPr>
        <w:t xml:space="preserve"> </w:t>
      </w:r>
      <w:r>
        <w:rPr>
          <w:rFonts w:ascii="Times New Roman;serif" w:hAnsi="Times New Roman;serif"/>
          <w:b w:val="false"/>
          <w:color w:val="000000"/>
          <w:sz w:val="20"/>
        </w:rPr>
        <w:t>steps to recognize revenue from contracts with customers under ASC 606, Revenue from Contracts with Customers (“ASC 606”), which are:</w:t>
      </w:r>
    </w:p>
    <w:p>
      <w:pPr>
        <w:pStyle w:val="TextBody"/>
        <w:bidi w:val="0"/>
        <w:spacing w:lineRule="auto" w:line="300" w:before="0" w:after="2"/>
        <w:jc w:val="both"/>
        <w:rPr/>
      </w:pPr>
      <w:r>
        <w:rPr>
          <w:color w:val="000000"/>
        </w:rPr>
        <w:t>    ●    </w:t>
      </w:r>
      <w:r>
        <w:rPr>
          <w:rFonts w:ascii="Times New Roman;serif" w:hAnsi="Times New Roman;serif"/>
          <w:b w:val="false"/>
          <w:color w:val="000000"/>
          <w:sz w:val="20"/>
        </w:rPr>
        <w:t>Step</w:t>
      </w:r>
      <w:r>
        <w:rPr>
          <w:color w:val="000000"/>
        </w:rPr>
        <w:t xml:space="preserve"> </w:t>
      </w:r>
      <w:r>
        <w:rPr>
          <w:rFonts w:ascii="Times New Roman;serif" w:hAnsi="Times New Roman;serif"/>
          <w:b w:val="false"/>
          <w:i/>
          <w:color w:val="000000"/>
          <w:sz w:val="20"/>
        </w:rPr>
        <w:t>1</w:t>
      </w:r>
      <w:r>
        <w:rPr>
          <w:rFonts w:ascii="Times New Roman;serif" w:hAnsi="Times New Roman;serif"/>
          <w:b w:val="false"/>
          <w:color w:val="000000"/>
          <w:sz w:val="20"/>
        </w:rPr>
        <w:t>: Identify the contract(s) with a customer</w:t>
      </w:r>
    </w:p>
    <w:p>
      <w:pPr>
        <w:pStyle w:val="TextBody"/>
        <w:bidi w:val="0"/>
        <w:spacing w:lineRule="auto" w:line="300" w:before="0" w:after="2"/>
        <w:jc w:val="both"/>
        <w:rPr/>
      </w:pPr>
      <w:r>
        <w:rPr>
          <w:color w:val="000000"/>
        </w:rPr>
        <w:t>    ●    </w:t>
      </w:r>
      <w:r>
        <w:rPr>
          <w:rFonts w:ascii="Times New Roman;serif" w:hAnsi="Times New Roman;serif"/>
          <w:b w:val="false"/>
          <w:color w:val="000000"/>
          <w:sz w:val="20"/>
        </w:rPr>
        <w:t>Step</w:t>
      </w:r>
      <w:r>
        <w:rPr>
          <w:color w:val="000000"/>
        </w:rPr>
        <w:t xml:space="preserve"> </w:t>
      </w:r>
      <w:r>
        <w:rPr>
          <w:rFonts w:ascii="Times New Roman;serif" w:hAnsi="Times New Roman;serif"/>
          <w:b w:val="false"/>
          <w:i/>
          <w:color w:val="000000"/>
          <w:sz w:val="20"/>
        </w:rPr>
        <w:t>2</w:t>
      </w:r>
      <w:r>
        <w:rPr>
          <w:rFonts w:ascii="Times New Roman;serif" w:hAnsi="Times New Roman;serif"/>
          <w:b w:val="false"/>
          <w:color w:val="000000"/>
          <w:sz w:val="20"/>
        </w:rPr>
        <w:t>: Identify the performance obligations in the contract</w:t>
      </w:r>
    </w:p>
    <w:p>
      <w:pPr>
        <w:pStyle w:val="TextBody"/>
        <w:bidi w:val="0"/>
        <w:spacing w:lineRule="auto" w:line="300" w:before="0" w:after="2"/>
        <w:jc w:val="both"/>
        <w:rPr/>
      </w:pPr>
      <w:r>
        <w:rPr>
          <w:color w:val="000000"/>
        </w:rPr>
        <w:t>    ●    </w:t>
      </w:r>
      <w:r>
        <w:rPr>
          <w:rFonts w:ascii="Times New Roman;serif" w:hAnsi="Times New Roman;serif"/>
          <w:b w:val="false"/>
          <w:color w:val="000000"/>
          <w:sz w:val="20"/>
        </w:rPr>
        <w:t>Step</w:t>
      </w:r>
      <w:r>
        <w:rPr>
          <w:color w:val="000000"/>
        </w:rPr>
        <w:t xml:space="preserve"> </w:t>
      </w:r>
      <w:r>
        <w:rPr>
          <w:rFonts w:ascii="Times New Roman;serif" w:hAnsi="Times New Roman;serif"/>
          <w:b w:val="false"/>
          <w:i/>
          <w:color w:val="000000"/>
          <w:sz w:val="20"/>
        </w:rPr>
        <w:t>3</w:t>
      </w:r>
      <w:r>
        <w:rPr>
          <w:rFonts w:ascii="Times New Roman;serif" w:hAnsi="Times New Roman;serif"/>
          <w:b w:val="false"/>
          <w:color w:val="000000"/>
          <w:sz w:val="20"/>
        </w:rPr>
        <w:t>: Determine the transaction price</w:t>
      </w:r>
    </w:p>
    <w:p>
      <w:pPr>
        <w:pStyle w:val="TextBody"/>
        <w:bidi w:val="0"/>
        <w:spacing w:lineRule="auto" w:line="300" w:before="0" w:after="2"/>
        <w:jc w:val="both"/>
        <w:rPr/>
      </w:pPr>
      <w:r>
        <w:rPr>
          <w:color w:val="000000"/>
        </w:rPr>
        <w:t>    ●    </w:t>
      </w:r>
      <w:r>
        <w:rPr>
          <w:rFonts w:ascii="Times New Roman;serif" w:hAnsi="Times New Roman;serif"/>
          <w:b w:val="false"/>
          <w:color w:val="000000"/>
          <w:sz w:val="20"/>
        </w:rPr>
        <w:t xml:space="preserve">Step </w:t>
      </w:r>
      <w:r>
        <w:rPr>
          <w:rFonts w:ascii="Times New Roman;serif" w:hAnsi="Times New Roman;serif"/>
          <w:b w:val="false"/>
          <w:i/>
          <w:color w:val="000000"/>
          <w:sz w:val="20"/>
        </w:rPr>
        <w:t>4</w:t>
      </w:r>
      <w:r>
        <w:rPr>
          <w:rFonts w:ascii="Times New Roman;serif" w:hAnsi="Times New Roman;serif"/>
          <w:b w:val="false"/>
          <w:color w:val="000000"/>
          <w:sz w:val="20"/>
        </w:rPr>
        <w:t>: Allocate the transaction price to the performance obligations in the contract</w:t>
      </w:r>
    </w:p>
    <w:p>
      <w:pPr>
        <w:pStyle w:val="TextBody"/>
        <w:bidi w:val="0"/>
        <w:spacing w:lineRule="auto" w:line="300" w:before="0" w:after="160"/>
        <w:jc w:val="both"/>
        <w:rPr/>
      </w:pPr>
      <w:r>
        <w:rPr>
          <w:color w:val="000000"/>
        </w:rPr>
        <w:t>    ●    </w:t>
      </w:r>
      <w:r>
        <w:rPr>
          <w:rFonts w:ascii="Times New Roman;serif" w:hAnsi="Times New Roman;serif"/>
          <w:b w:val="false"/>
          <w:color w:val="000000"/>
          <w:sz w:val="20"/>
        </w:rPr>
        <w:t xml:space="preserve">Step </w:t>
      </w:r>
      <w:r>
        <w:rPr>
          <w:rFonts w:ascii="Times New Roman;serif" w:hAnsi="Times New Roman;serif"/>
          <w:b w:val="false"/>
          <w:i/>
          <w:color w:val="000000"/>
          <w:sz w:val="20"/>
        </w:rPr>
        <w:t>5</w:t>
      </w:r>
      <w:r>
        <w:rPr>
          <w:rFonts w:ascii="Times New Roman;serif" w:hAnsi="Times New Roman;serif"/>
          <w:b w:val="false"/>
          <w:color w:val="000000"/>
          <w:sz w:val="20"/>
        </w:rPr>
        <w:t>: Recognize revenue when (or as) a performance obligation is satisfied</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generates service revenue through a joint development agreement with a research partner. The Company recognizes revenue related to the research and development aspects of the agreement over time using the input method as work is performed on the contract.</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also generates grant revenue, which represents monies received on contracts with various federal agencies and nonprofit research institutions for general research conducted by the Company to further their product development and are therefore considered contributions to the Company. The contracts are generally for periods of one year or more and can be cancelled by either party. The Company concluded that the grant arrangements do not meet the criteria to be treated as a collaborative arrangement under FASB ASC Topic 808 as the Company is the only active participant in the arrangement. The grant arrangements also do not meet the criteria for revenue recognition under Topic 606, as the U.S. Government would not meet the definition of a customer.</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Amounts earned under these grant contracts are recorded as a reduction to research and development expense when eligible expenses are incurred and the right to payment is realizable or realized and earned. The Company believes this policy is consistent with Topic 606, to ensure that recognition reflects the transfer of promised goods or services to customers in an amount that reflects the consideration that the Company expects to be entitled to in exchange for those goods or services, even though there is no exchange as defined in Topic 606. Additionally, the Company has determined that the recognition of amounts received as costs are incurred and amounts become realizable is analogous to the concept of transfer of control of a service over time under Topic 606.</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Receipts of grant awards in advance, which are payable back to the funding agency if not used in accordance with conditions in the grants related to allowable costs or receipt of funding from research partners related to service revenue arrangements before work is performed on the contract, are classified as contract liabilities in the accompanying balance sheets.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300" w:before="0" w:after="160"/>
        <w:jc w:val="both"/>
        <w:rPr/>
      </w:pPr>
      <w:r>
        <w:rPr>
          <w:rFonts w:ascii="Times New Roman;serif" w:hAnsi="Times New Roman;serif"/>
          <w:b w:val="false"/>
          <w:color w:val="000000"/>
          <w:sz w:val="20"/>
        </w:rPr>
        <w:t xml:space="preserve">The Company accounts for research and development costs in accordance with Accounting Standards Codification (ASC) subtopic 730-10,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Accordingly, research and development costs are expensed as incurred. Research and development costs consist of costs related to labor, materials and supplies, as well as fees paid to consultants, external research fees. Research and development costs incurred were 4,836,008 and 4,723,378 for the years ended December 31, 2025 and 2024, respectively.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At December 31, 2025 and December 31, 2024, the Company had state tax credit receivables of $103,601 and $65,676, respectively for pending refunds related to the selling of research and development tax credits back to the State of Connecticut. At December 31, 2025 and December 31, 2024, the Company had recorded $27,269 and $27,666, respectively, for pending refunds related to Canadian Scientific Research and Experimental Development (SRED) credits. At December 31, 2025 and December 31, 2024, the Company had recorded $9,513 and $8,321, respectively, related to refunds of Canadian Goods and Services Tax (GST) and Quebec Sales Tax (QST). Receipts of refunds are recorded in research and development on the statements of operations.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300" w:before="0" w:after="160"/>
        <w:jc w:val="both"/>
        <w:rPr/>
      </w:pPr>
      <w:r>
        <w:rPr>
          <w:rFonts w:ascii="Times New Roman;serif" w:hAnsi="Times New Roman;serif"/>
          <w:b w:val="false"/>
          <w:color w:val="000000"/>
          <w:sz w:val="20"/>
        </w:rPr>
        <w:t xml:space="preserve">The Company accounts for stock-based compensation in accordance with ASC 718, </w:t>
      </w:r>
      <w:r>
        <w:rPr>
          <w:rFonts w:ascii="Times New Roman;serif" w:hAnsi="Times New Roman;serif"/>
          <w:b w:val="false"/>
          <w:i/>
          <w:color w:val="000000"/>
          <w:sz w:val="20"/>
        </w:rPr>
        <w:t>Compensation-Stock Compensation</w:t>
      </w:r>
      <w:r>
        <w:rPr>
          <w:color w:val="000000"/>
        </w:rPr>
        <w:t xml:space="preserve"> </w:t>
      </w:r>
      <w:r>
        <w:rPr>
          <w:rFonts w:ascii="Times New Roman;serif" w:hAnsi="Times New Roman;serif"/>
          <w:b w:val="false"/>
          <w:color w:val="000000"/>
          <w:sz w:val="20"/>
        </w:rPr>
        <w:t xml:space="preserve">(ASC 718). ASC 718 requires employee stock options and rights to purchase shares under stock participation plans to be accounted for at fair value. ASC 718 requires that compensation costs related to share-based payment transactions be recognized as operating expenses in the financial statements. Under this method, compensation costs for all awards granted or modified are measured at estimated fair value at date of grant and are included as compensation expense over the vesting period during which an employee provides service in exchange for the award. For awards with a performance condition that affects vesting, the Company recognizes compensation expense when it is determined probable that the performance condition will be achieved. The Company recognized the effect of forfeitures when the forfeitures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30835"/>
                <wp:effectExtent l="0" t="0" r="0" b="0"/>
                <wp:wrapNone/>
                <wp:docPr id="113" name="Frame99"/>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F-13</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F-13</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uses a Black-Scholes option pricing model to determine fair value of its stock options. The Black-Scholes model includes various assumptions, including the value of the underlying common stock, the expected life of stock options, the expected volatility and the expected risk-free interest rate. These assumptions reflect the Company’s best estimates, but they involve inherent uncertainties based on market conditions generally outside of the control of the Company. As a result, if other assumptions had been used, stock-based compensation cost could have been materially impacted. Furthermore, if the Company uses different assumptions for future grants, stock-based compensation cost could be materially impacted in future periods.</w:t>
      </w:r>
    </w:p>
    <w:p>
      <w:pPr>
        <w:pStyle w:val="TextBody"/>
        <w:bidi w:val="0"/>
        <w:spacing w:lineRule="auto" w:line="300" w:before="0" w:after="160"/>
        <w:jc w:val="both"/>
        <w:rPr/>
      </w:pPr>
      <w:r>
        <w:rPr>
          <w:rFonts w:ascii="Times New Roman;serif" w:hAnsi="Times New Roman;serif"/>
          <w:b w:val="false"/>
          <w:color w:val="000000"/>
          <w:sz w:val="20"/>
        </w:rPr>
        <w:t xml:space="preserve">The Company accounts for equity instruments issued to non-employees in accordance with the provisions of ASC 718 as updated by Accounting Standards Update (ASU) No. 2018-07, </w:t>
      </w:r>
      <w:r>
        <w:rPr>
          <w:rFonts w:ascii="Times New Roman;serif" w:hAnsi="Times New Roman;serif"/>
          <w:b w:val="false"/>
          <w:i/>
          <w:color w:val="000000"/>
          <w:sz w:val="20"/>
        </w:rPr>
        <w:t>Improvements to Nonemployee Share-Based Payment Accounting</w:t>
      </w:r>
      <w:r>
        <w:rPr>
          <w:rFonts w:ascii="Times New Roman;serif" w:hAnsi="Times New Roman;serif"/>
          <w:b w:val="false"/>
          <w:color w:val="000000"/>
          <w:sz w:val="20"/>
        </w:rPr>
        <w:t>, which expands the scope of ASC 718 to include share-based payment transactions to non-employees.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assumptions are used in valuing options issued using the Black-Scholes option pricing model:</w:t>
      </w:r>
    </w:p>
    <w:p>
      <w:pPr>
        <w:pStyle w:val="TextBody"/>
        <w:bidi w:val="0"/>
        <w:spacing w:lineRule="auto" w:line="300" w:before="0" w:after="160"/>
        <w:jc w:val="both"/>
        <w:rPr/>
      </w:pPr>
      <w:r>
        <w:rPr>
          <w:rFonts w:ascii="Times New Roman;serif" w:hAnsi="Times New Roman;serif"/>
          <w:b w:val="false"/>
          <w:i/>
          <w:color w:val="000000"/>
          <w:sz w:val="20"/>
        </w:rPr>
        <w:t>Expected Volatility</w:t>
      </w:r>
      <w:r>
        <w:rPr>
          <w:rFonts w:ascii="Times New Roman;serif" w:hAnsi="Times New Roman;serif"/>
          <w:b w:val="false"/>
          <w:color w:val="000000"/>
          <w:sz w:val="20"/>
        </w:rPr>
        <w:t>. The expected volatility of the Company’s shares is estimated based on the average volatility of peer companies.</w:t>
      </w:r>
    </w:p>
    <w:p>
      <w:pPr>
        <w:pStyle w:val="TextBody"/>
        <w:bidi w:val="0"/>
        <w:spacing w:lineRule="auto" w:line="300" w:before="0" w:after="160"/>
        <w:jc w:val="both"/>
        <w:rPr/>
      </w:pPr>
      <w:r>
        <w:rPr>
          <w:rFonts w:ascii="Times New Roman;serif" w:hAnsi="Times New Roman;serif"/>
          <w:b w:val="false"/>
          <w:i/>
          <w:color w:val="000000"/>
          <w:sz w:val="20"/>
        </w:rPr>
        <w:t>Expected Term</w:t>
      </w:r>
      <w:r>
        <w:rPr>
          <w:rFonts w:ascii="Times New Roman;serif" w:hAnsi="Times New Roman;serif"/>
          <w:b w:val="false"/>
          <w:color w:val="000000"/>
          <w:sz w:val="20"/>
        </w:rPr>
        <w:t>. The expected term of options is estimated using the simplified method which is based on the vesting period and contractual term for each grant, or for each vesting-tranche for awards with graded vesting.</w:t>
      </w:r>
    </w:p>
    <w:p>
      <w:pPr>
        <w:pStyle w:val="TextBody"/>
        <w:bidi w:val="0"/>
        <w:spacing w:lineRule="auto" w:line="268" w:before="0" w:after="160"/>
        <w:jc w:val="left"/>
        <w:rPr/>
      </w:pPr>
      <w:r>
        <w:rPr>
          <w:rFonts w:ascii="Times New Roman;serif" w:hAnsi="Times New Roman;serif"/>
          <w:b w:val="false"/>
          <w:i/>
          <w:color w:val="000000"/>
          <w:sz w:val="20"/>
        </w:rPr>
        <w:t>Underlying Common Stock Value</w:t>
      </w:r>
      <w:r>
        <w:rPr>
          <w:rFonts w:ascii="Times New Roman;serif" w:hAnsi="Times New Roman;serif"/>
          <w:b w:val="false"/>
          <w:color w:val="000000"/>
          <w:sz w:val="20"/>
        </w:rPr>
        <w:t>. The underlying common stock value of the Company’s shares is estimated by a third-party valuation expert up until the Company’s IPO, at which time the Company utilized its trading price on the NYSE American on the date of grant.</w:t>
      </w:r>
    </w:p>
    <w:p>
      <w:pPr>
        <w:pStyle w:val="TextBody"/>
        <w:bidi w:val="0"/>
        <w:spacing w:lineRule="auto" w:line="300" w:before="0" w:after="160"/>
        <w:jc w:val="both"/>
        <w:rPr/>
      </w:pPr>
      <w:r>
        <w:rPr>
          <w:rFonts w:ascii="Times New Roman;serif" w:hAnsi="Times New Roman;serif"/>
          <w:b w:val="false"/>
          <w:i/>
          <w:color w:val="000000"/>
          <w:sz w:val="20"/>
        </w:rPr>
        <w:t>Risk-free Interest Rate</w:t>
      </w:r>
      <w:r>
        <w:rPr>
          <w:rFonts w:ascii="Times New Roman;serif" w:hAnsi="Times New Roman;serif"/>
          <w:b w:val="false"/>
          <w:color w:val="000000"/>
          <w:sz w:val="20"/>
        </w:rPr>
        <w:t>. The Company bases the risk-free interest rate on the implied yield available on a U.S. Treasury note with terms equal to the expected term of the underlying grant.</w:t>
      </w:r>
    </w:p>
    <w:p>
      <w:pPr>
        <w:pStyle w:val="TextBody"/>
        <w:bidi w:val="0"/>
        <w:spacing w:lineRule="auto" w:line="300" w:before="0" w:after="160"/>
        <w:jc w:val="both"/>
        <w:rPr/>
      </w:pPr>
      <w:r>
        <w:rPr>
          <w:rFonts w:ascii="Times New Roman;serif" w:hAnsi="Times New Roman;serif"/>
          <w:b w:val="false"/>
          <w:i/>
          <w:color w:val="000000"/>
          <w:sz w:val="20"/>
        </w:rPr>
        <w:t>Dividend Yield</w:t>
      </w:r>
      <w:r>
        <w:rPr>
          <w:rFonts w:ascii="Times New Roman;serif" w:hAnsi="Times New Roman;serif"/>
          <w:b w:val="false"/>
          <w:color w:val="000000"/>
          <w:sz w:val="20"/>
        </w:rPr>
        <w:t>. The Black-Scholes valuation model calls for a single expected dividend yield as an input. The Company has not paid dividends on Common stock in the past nor does it expect to pay dividends on Common stock in the near future. As such, the Company uses a dividend yield percentage of zero.</w:t>
      </w:r>
    </w:p>
    <w:p>
      <w:pPr>
        <w:pStyle w:val="TextBody"/>
        <w:bidi w:val="0"/>
        <w:spacing w:lineRule="auto" w:line="268" w:before="0" w:after="160"/>
        <w:jc w:val="left"/>
        <w:rPr>
          <w:rFonts w:ascii="Times New Roman;serif" w:hAnsi="Times New Roman;serif"/>
          <w:b/>
          <w:color w:val="000000"/>
          <w:sz w:val="20"/>
        </w:rPr>
      </w:pPr>
      <w:r>
        <w:rPr>
          <w:rFonts w:ascii="Times New Roman;serif" w:hAnsi="Times New Roman;serif"/>
          <w:b/>
          <w:color w:val="000000"/>
          <w:sz w:val="20"/>
        </w:rPr>
        <w:t>Insurance Premium Financing Liability</w:t>
      </w:r>
    </w:p>
    <w:p>
      <w:pPr>
        <w:pStyle w:val="TextBody"/>
        <w:bidi w:val="0"/>
        <w:spacing w:lineRule="auto" w:line="300" w:before="0" w:after="160"/>
        <w:jc w:val="left"/>
        <w:rPr/>
      </w:pPr>
      <w:r>
        <w:rPr>
          <w:rFonts w:ascii="Times New Roman;serif" w:hAnsi="Times New Roman;serif"/>
          <w:b w:val="false"/>
          <w:color w:val="000000"/>
          <w:sz w:val="20"/>
        </w:rPr>
        <w:t xml:space="preserve">In August 2025, the Company entered into an insurance premium financing agreement for $328,400, with a term of nine months and an annual interest rate of 7.82%. The Company made a down payment of 10% and is required to make monthly principal and interest payments of $33,919 over the term of the agreement, which will mature in June 2026. </w:t>
      </w:r>
      <w:r>
        <w:rPr>
          <w:rFonts w:ascii="Times New Roman;serif" w:hAnsi="Times New Roman;serif"/>
          <w:b w:val="false"/>
          <w:color w:val="000000"/>
          <w:sz w:val="20"/>
          <w:shd w:fill="FFFFFF" w:val="clear"/>
        </w:rPr>
        <w:t xml:space="preserve">The insurance premium financing liability was approximately </w:t>
      </w:r>
      <w:r>
        <w:rPr>
          <w:rFonts w:ascii="Times New Roman;serif" w:hAnsi="Times New Roman;serif"/>
          <w:b w:val="false"/>
          <w:color w:val="000000"/>
          <w:sz w:val="20"/>
        </w:rPr>
        <w:t>$198,983</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respectively. Related prepaid insurance at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color w:val="000000"/>
          <w:shd w:fill="FFFFFF" w:val="clear"/>
        </w:rPr>
        <w:t xml:space="preserv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$218,933</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w:t>
      </w:r>
      <w:r>
        <w:rPr>
          <w:rFonts w:ascii="Times New Roman;serif" w:hAnsi="Times New Roman;serif"/>
          <w:b w:val="false"/>
          <w:color w:val="000000"/>
          <w:sz w:val="20"/>
          <w:shd w:fill="FFFFFF" w:val="clear"/>
        </w:rPr>
        <w:t>, respectively, is included in prepaid expenses and other current assets on the accompanying condensed balance sheets.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uses the liability method of accounting for income taxes, as set forth in ASC 740, Accounting for Income Taxes. Under this method, deferred tax assets and liabilities are recognized for the expected future tax consequence of temporary differences between the carrying amounts and the tax basis of assets and liabilities and net operating loss carry forwards, all calculated using presently enacted tax rates.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Management has evaluated the effect of ASC guidance related to uncertain income tax positions and concluded that the Company has no significant financial statement exposure to uncertain income tax positions at December 31, 2025 and 2024. The Company’s income tax returns have not been examined by tax authorities through December 31, 2024.</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Certain Risks and Uncertainties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activities are subject to significant risks and uncertainties including the risk of failure to secure additional funding to properly execute the Company’s business plan. The Company is subject to risks that are common to companies in the pharmaceutical industry, including, but not limited to, development by the Company or its competitors of new technological innovations, dependence on key personnel, reliance on third party manufacturers, protection of proprietary technology, and compliance with regulatory requirements.</w:t>
      </w:r>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carries certain liabilities at fair value on a recurring basis. A fair value hierarchy that consists of three levels is used to prioritize the inputs to fair value valuation techniques: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30835"/>
                <wp:effectExtent l="0" t="0" r="0" b="0"/>
                <wp:wrapNone/>
                <wp:docPr id="114" name="Frame100"/>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F-14</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F-14</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ind w:left="0" w:right="0" w:hanging="360"/>
        <w:jc w:val="both"/>
        <w:rPr/>
      </w:pPr>
      <w:r>
        <w:rPr>
          <w:color w:val="000000"/>
        </w:rPr>
        <w:t>•</w:t>
      </w:r>
      <w:r>
        <w:rPr>
          <w:rFonts w:ascii="Times New Roman;serif" w:hAnsi="Times New Roman;serif"/>
          <w:b w:val="false"/>
          <w:color w:val="000000"/>
          <w:sz w:val="20"/>
        </w:rPr>
        <w:t>Level 1 – Inputs are based upon observable or quoted prices for identical instruments traded in active markets.</w:t>
      </w:r>
    </w:p>
    <w:p>
      <w:pPr>
        <w:pStyle w:val="TextBody"/>
        <w:bidi w:val="0"/>
        <w:spacing w:lineRule="auto" w:line="300" w:before="0" w:after="160"/>
        <w:ind w:left="0" w:right="0" w:hanging="360"/>
        <w:jc w:val="both"/>
        <w:rPr/>
      </w:pPr>
      <w:r>
        <w:rPr>
          <w:color w:val="000000"/>
        </w:rPr>
        <w:t>•</w:t>
      </w:r>
      <w:r>
        <w:rPr>
          <w:rFonts w:ascii="Times New Roman;serif" w:hAnsi="Times New Roman;serif"/>
          <w:b w:val="false"/>
          <w:color w:val="000000"/>
          <w:sz w:val="20"/>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pStyle w:val="TextBody"/>
        <w:bidi w:val="0"/>
        <w:spacing w:lineRule="auto" w:line="300" w:before="0" w:after="160"/>
        <w:ind w:left="0" w:right="0" w:hanging="360"/>
        <w:jc w:val="both"/>
        <w:rPr/>
      </w:pPr>
      <w:r>
        <w:rPr>
          <w:color w:val="000000"/>
        </w:rPr>
        <w:t>•</w:t>
      </w:r>
      <w:r>
        <w:rPr>
          <w:rFonts w:ascii="Times New Roman;serif" w:hAnsi="Times New Roman;serif"/>
          <w:b w:val="false"/>
          <w:color w:val="000000"/>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Financial Instruments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are primarily comprised of accounts receivable, accounts payable, accrued liabilities, and long-term debt. For accounts receivable, accounts payable and accrued liabilities, the carrying amount approximates fair value due to the short-term maturities of such instruments. The estimated fair value of the Company’s long-term debt approximates carrying value.</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300" w:before="0" w:after="1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Reporting Comprehensive Income— Expense </w:t>
      </w:r>
      <w:r>
        <w:rPr>
          <w:rFonts w:ascii="Times New Roman;serif" w:hAnsi="Times New Roman;serif"/>
          <w:b w:val="false"/>
          <w:color w:val="000000"/>
          <w:sz w:val="20"/>
        </w:rPr>
        <w:t xml:space="preserve">Disaggregation </w:t>
      </w:r>
      <w:r>
        <w:rPr>
          <w:rFonts w:ascii="Times New Roman;serif" w:hAnsi="Times New Roman;serif"/>
          <w:b w:val="false"/>
          <w:i/>
          <w:color w:val="000000"/>
          <w:sz w:val="20"/>
        </w:rPr>
        <w:t>Disclosures</w:t>
      </w:r>
      <w:r>
        <w:rPr>
          <w:rFonts w:ascii="Times New Roman;serif" w:hAnsi="Times New Roman;serif"/>
          <w:b w:val="false"/>
          <w:color w:val="000000"/>
          <w:sz w:val="20"/>
        </w:rPr>
        <w:t>, which requires more detailed information about specified categories of expenses (purchases of inventory, employee compensation, depreciation, amortization, and depletion) included in certain expense captions presented on the face of the income statement, as well as disclosures about selling expenses.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this guidance to determine the impact it may have on its condensed financial statements disclosures.</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which introduces a practical expedient that allows entities to assume that current conditions at the balance sheet date remain unchanged for the remaining life of the asset when developing reasonable and supportable forecasts. This eliminates the need to incorporate macroeconomic forecasts for short term receivables. The ASU is effective for fiscal years beginning after December 15, 2025 (Fiscal 2027 for the Company), but early adoption is permitted. The Company does not expect the adoption of ASU 2025-05 to have a significant impact on its financial statements for the annual period ending December 31, 2026.</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Management does not believe that any other recently issued, but not yet effective, accounting standards could have a material effect on the accompanying financial statements. As new accounting pronouncements are issued, the Company will adopt those that are applicable under the circumstances.</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30835"/>
                <wp:effectExtent l="0" t="0" r="0" b="0"/>
                <wp:wrapNone/>
                <wp:docPr id="115" name="Frame101"/>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F-15</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F-15</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3. Property and Equipment</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at:</w:t>
      </w:r>
    </w:p>
    <w:tbl>
      <w:tblPr>
        <w:tblW w:w="8047" w:type="dxa"/>
        <w:jc w:val="center"/>
        <w:tblInd w:w="0" w:type="dxa"/>
        <w:tblLayout w:type="fixed"/>
        <w:tblCellMar>
          <w:top w:w="28" w:type="dxa"/>
          <w:left w:w="28" w:type="dxa"/>
          <w:bottom w:w="28" w:type="dxa"/>
          <w:right w:w="28" w:type="dxa"/>
        </w:tblCellMar>
      </w:tblPr>
      <w:tblGrid>
        <w:gridCol w:w="1413"/>
        <w:gridCol w:w="1241"/>
        <w:gridCol w:w="1245"/>
        <w:gridCol w:w="109"/>
        <w:gridCol w:w="109"/>
        <w:gridCol w:w="109"/>
        <w:gridCol w:w="281"/>
        <w:gridCol w:w="1299"/>
        <w:gridCol w:w="145"/>
        <w:gridCol w:w="109"/>
        <w:gridCol w:w="109"/>
        <w:gridCol w:w="109"/>
        <w:gridCol w:w="278"/>
        <w:gridCol w:w="1288"/>
        <w:gridCol w:w="203"/>
      </w:tblGrid>
      <w:tr>
        <w:trPr/>
        <w:tc>
          <w:tcPr>
            <w:tcW w:w="141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1,086,860 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1,070,032 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Computers and office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30,825 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30,825 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20,164 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24,316 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28,855 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Building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14,932 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14,932 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1,181,636 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1,168,960 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&amp;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(633,045)</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(515,003)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548,591 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653,957 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was $124,357 and $120,026 for the years ended December 31, 2025 and 2024, respectively. </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Fixed assets are reviewed for impairment each reporting period. For the years ended December 31, 2025 and 2024 there was 2,069 and 4,859 of losses on disposal of property and equipment recorded, respectively.</w:t>
      </w:r>
    </w:p>
    <w:p>
      <w:pPr>
        <w:pStyle w:val="TextBody"/>
        <w:bidi w:val="0"/>
        <w:spacing w:before="0" w:after="2"/>
        <w:jc w:val="both"/>
        <w:rPr/>
      </w:pPr>
      <w:r>
        <w:rPr/>
      </w:r>
    </w:p>
    <w:p>
      <w:pPr>
        <w:pStyle w:val="TextBody"/>
        <w:bidi w:val="0"/>
        <w:spacing w:before="0" w:after="2"/>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4. Intangible Assets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at:</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December 31, 2025:</w:t>
      </w:r>
    </w:p>
    <w:tbl>
      <w:tblPr>
        <w:tblW w:w="10205" w:type="dxa"/>
        <w:jc w:val="left"/>
        <w:tblInd w:w="0" w:type="dxa"/>
        <w:tblLayout w:type="fixed"/>
        <w:tblCellMar>
          <w:top w:w="28" w:type="dxa"/>
          <w:left w:w="28" w:type="dxa"/>
          <w:bottom w:w="28" w:type="dxa"/>
          <w:right w:w="28" w:type="dxa"/>
        </w:tblCellMar>
      </w:tblPr>
      <w:tblGrid>
        <w:gridCol w:w="503"/>
        <w:gridCol w:w="441"/>
        <w:gridCol w:w="444"/>
        <w:gridCol w:w="576"/>
        <w:gridCol w:w="576"/>
        <w:gridCol w:w="578"/>
        <w:gridCol w:w="109"/>
        <w:gridCol w:w="109"/>
        <w:gridCol w:w="109"/>
        <w:gridCol w:w="236"/>
        <w:gridCol w:w="927"/>
        <w:gridCol w:w="121"/>
        <w:gridCol w:w="109"/>
        <w:gridCol w:w="109"/>
        <w:gridCol w:w="109"/>
        <w:gridCol w:w="439"/>
        <w:gridCol w:w="1504"/>
        <w:gridCol w:w="230"/>
        <w:gridCol w:w="109"/>
        <w:gridCol w:w="109"/>
        <w:gridCol w:w="109"/>
        <w:gridCol w:w="327"/>
        <w:gridCol w:w="629"/>
        <w:gridCol w:w="170"/>
        <w:gridCol w:w="109"/>
        <w:gridCol w:w="109"/>
        <w:gridCol w:w="109"/>
        <w:gridCol w:w="211"/>
        <w:gridCol w:w="826"/>
        <w:gridCol w:w="159"/>
      </w:tblGrid>
      <w:tr>
        <w:trPr/>
        <w:tc>
          <w:tcPr>
            <w:tcW w:w="5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Net Amount</w:t>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60,244 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7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17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297,087 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40,658 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256,429 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357,331 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40,658 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316,673 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60" w:after="160"/>
        <w:jc w:val="both"/>
        <w:rPr>
          <w:rFonts w:ascii="Times New Roman;serif" w:hAnsi="Times New Roman;serif"/>
          <w:b w:val="false"/>
          <w:color w:val="000000"/>
          <w:sz w:val="20"/>
        </w:rPr>
      </w:pPr>
      <w:r>
        <w:rPr>
          <w:rFonts w:ascii="Times New Roman;serif" w:hAnsi="Times New Roman;serif"/>
          <w:b w:val="false"/>
          <w:color w:val="000000"/>
          <w:sz w:val="20"/>
        </w:rPr>
        <w:t>December 31, 2024:</w:t>
      </w:r>
    </w:p>
    <w:tbl>
      <w:tblPr>
        <w:tblW w:w="10205" w:type="dxa"/>
        <w:jc w:val="left"/>
        <w:tblInd w:w="0" w:type="dxa"/>
        <w:tblLayout w:type="fixed"/>
        <w:tblCellMar>
          <w:top w:w="28" w:type="dxa"/>
          <w:left w:w="28" w:type="dxa"/>
          <w:bottom w:w="28" w:type="dxa"/>
          <w:right w:w="28" w:type="dxa"/>
        </w:tblCellMar>
      </w:tblPr>
      <w:tblGrid>
        <w:gridCol w:w="503"/>
        <w:gridCol w:w="441"/>
        <w:gridCol w:w="444"/>
        <w:gridCol w:w="576"/>
        <w:gridCol w:w="576"/>
        <w:gridCol w:w="578"/>
        <w:gridCol w:w="109"/>
        <w:gridCol w:w="109"/>
        <w:gridCol w:w="109"/>
        <w:gridCol w:w="236"/>
        <w:gridCol w:w="927"/>
        <w:gridCol w:w="121"/>
        <w:gridCol w:w="109"/>
        <w:gridCol w:w="109"/>
        <w:gridCol w:w="109"/>
        <w:gridCol w:w="439"/>
        <w:gridCol w:w="1504"/>
        <w:gridCol w:w="230"/>
        <w:gridCol w:w="109"/>
        <w:gridCol w:w="109"/>
        <w:gridCol w:w="109"/>
        <w:gridCol w:w="327"/>
        <w:gridCol w:w="629"/>
        <w:gridCol w:w="170"/>
        <w:gridCol w:w="109"/>
        <w:gridCol w:w="109"/>
        <w:gridCol w:w="109"/>
        <w:gridCol w:w="211"/>
        <w:gridCol w:w="826"/>
        <w:gridCol w:w="159"/>
      </w:tblGrid>
      <w:tr>
        <w:trPr/>
        <w:tc>
          <w:tcPr>
            <w:tcW w:w="5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Net Amount</w:t>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60,244 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60,244 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17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17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213,122 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26,946 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186,176 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8"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38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273,366 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26,946 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246,420 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amortization expense related to intangible assets was $13,712 and $11,163,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30835"/>
                <wp:effectExtent l="0" t="0" r="0" b="0"/>
                <wp:wrapNone/>
                <wp:docPr id="116" name="Frame102"/>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F-16</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F-16</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5. Accrued Expenses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 at:</w:t>
      </w:r>
    </w:p>
    <w:tbl>
      <w:tblPr>
        <w:tblW w:w="6820" w:type="dxa"/>
        <w:jc w:val="center"/>
        <w:tblInd w:w="0" w:type="dxa"/>
        <w:tblLayout w:type="fixed"/>
        <w:tblCellMar>
          <w:top w:w="28" w:type="dxa"/>
          <w:left w:w="28" w:type="dxa"/>
          <w:bottom w:w="28" w:type="dxa"/>
          <w:right w:w="28" w:type="dxa"/>
        </w:tblCellMar>
      </w:tblPr>
      <w:tblGrid>
        <w:gridCol w:w="1084"/>
        <w:gridCol w:w="954"/>
        <w:gridCol w:w="961"/>
        <w:gridCol w:w="317"/>
        <w:gridCol w:w="1244"/>
        <w:gridCol w:w="164"/>
        <w:gridCol w:w="109"/>
        <w:gridCol w:w="109"/>
        <w:gridCol w:w="109"/>
        <w:gridCol w:w="313"/>
        <w:gridCol w:w="1228"/>
        <w:gridCol w:w="228"/>
      </w:tblGrid>
      <w:tr>
        <w:trPr/>
        <w:tc>
          <w:tcPr>
            <w:tcW w:w="108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Employee payroll and bonuses</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29,528 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410,781 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Vacation</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37,880 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32,969 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projects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84,408 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75,047 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82,762 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197,484 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602,787 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6. Stockholders’ Equity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May 17, 2023, the Company effected a 7.1-for-1 Forward Stock Split of its issued and outstanding shares of common stock and a proportional adjustment to the existing conversion ratios for each series of the Company’s preferred stock. The par value of the common stock was adjusted as a result of the Forward Stock Split from $0.01 to $0.0001 and the authorized shares were increased to 100,000,000 shares of common stock in connection with the Forward Stock Split. In lieu of any fractional shares issued as a result of the split the Company paid a cash amount to the holder of such fractional share. The accompanying financial statements and notes to the financial statements give retroactive effect to the Forward Stock Split for all periods presented. Shares of common stock underlying outstanding stock-based awards and other equity instruments were proportionately increased and the respective per share value and exercise prices, if applicable, were proportionately decreased in accordance with the terms of the agreements governing such securities.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February 16, 2024, the Company completed the February 2024 Offering, consisting of an aggregate of 83,404 shares of its common stock at a public offering price of $59.94 per share. The gross proceeds from the February 2024 Offering, before deducting the placement agent's fees and other offering expenses, were approximately $5 million.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As consideration for ThinkEquity LLC serving as the placement agent for the February 2024 Offering (the "February 2024 Placement Agent"), the Company paid the February 2024 Placement Agent a cash fee of 7.5% of the aggregate gross proceeds of the February 2024 Offering and reimbursed the February 2024 Placement Agent for certain expenses, legal fees for a total of $537,559, and issued February 2024 Placement Agent Warrants to designees to the February 2024 Placement Agent.</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July 1, 2024, the Company effected a 30-for-1 Reverse Stock Split of its issued and outstanding shares of common stock and began trading on a split-adjusted basis the same day. There was no change to the par value of the common stock. In lieu of any fractional shares issued as a result of the split the Company paid a cash amount to the holder of such fractional share. The accompanying financial statements and notes to the financial statements give retroactive effect to the Reverse Stock Split for all periods presented unless otherwise noted. Shares of common stock underlying outstanding stock-based awards and other equity instruments were proportionately decreased and the respective per share value and exercise prices, if applicable, were proportionately increased in accordance with the terms of the agreements governing such securities.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July 25, 2024, the Company completed the July 2024 Offering, consisting of an aggregate of 1,000,750 shares of its common stock and Class A warrants to purchase 2,001,502 shares of common stock, at a combined public offering price of $9.99. The Class A warrant had an initial exercise price of $9.99 per share, was exercisable immediately upon issuance, and will expire on the fifth anniversary of the original issuance date. However, if on the date that was 30 calendar days immediately following the date of issuance of the Class A Warrants, or August 24, 2024 (the “Reset Date”), the Reset Price, as defined below, was less than the exercise price at such time, the exercise price would be decreased to the Reset Price. “Reset Price” is defined as 100% of the trailing five-day VWAP immediately preceding the Reset Date, provided, that in no event would the Reset Price be less than $2.13 (subject to adjustment for reverse and forward stock splits, recapitalizations and similar transactions), which represented 20% of the most recent closing price for the Common Stock at the time of execution of the placement agent agreement with respect to the offering. The Reset Price of the Class A Warrants as calculated on the Reset Date was $4.69. The number of shares of Common Stock issuable upon exercise of the Class A Warrants has not been proportionately adjusted due to the reset of the exercise price.</w:t>
      </w:r>
    </w:p>
    <w:p>
      <w:pPr>
        <w:pStyle w:val="TextBody"/>
        <w:bidi w:val="0"/>
        <w:spacing w:lineRule="auto" w:line="268" w:before="0" w:after="160"/>
        <w:jc w:val="both"/>
        <w:rPr/>
      </w:pPr>
      <w:r>
        <w:rPr>
          <w:rFonts w:ascii="Times New Roman;serif" w:hAnsi="Times New Roman;serif"/>
          <w:b w:val="false"/>
          <w:color w:val="000000"/>
          <w:sz w:val="20"/>
          <w:shd w:fill="FFFFFF" w:val="clear"/>
        </w:rPr>
        <w:t>In consideration for Maxim Group</w:t>
      </w:r>
      <w:r>
        <w:rPr>
          <w:color w:val="000000"/>
        </w:rPr>
        <w:t xml:space="preserve"> </w:t>
      </w:r>
      <w:r>
        <w:rPr>
          <w:rFonts w:ascii="Times New Roman;serif" w:hAnsi="Times New Roman;serif"/>
          <w:b w:val="false"/>
          <w:color w:val="000000"/>
          <w:sz w:val="20"/>
        </w:rPr>
        <w:t xml:space="preserve">LLC serving as the placement agent of the July 2024 Offering (the “July 2024 Placement Agent”), the Company paid the July 2024 Placement Agent a cash fee equal to 7% of the aggregate gross proceeds of the July 2024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30835"/>
                <wp:effectExtent l="0" t="0" r="0" b="0"/>
                <wp:wrapNone/>
                <wp:docPr id="117" name="Frame103"/>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F-17</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F-17</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reimbursed the July 2024 Placement Agent for certain expenses and legal fees for a total of $809,825, and issued Placement Agent Warrants.</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The gross proceeds from the July 2024 Offering, before deducting the July 2024 Placement Agent’s fees and other offering expenses, were approximately $10.0 million.</w:t>
      </w:r>
    </w:p>
    <w:p>
      <w:pPr>
        <w:pStyle w:val="TextBody"/>
        <w:bidi w:val="0"/>
        <w:spacing w:lineRule="auto" w:line="268" w:before="160" w:after="160"/>
        <w:jc w:val="both"/>
        <w:rPr>
          <w:rFonts w:ascii="Times New Roman;serif" w:hAnsi="Times New Roman;serif"/>
          <w:b w:val="false"/>
          <w:color w:val="000000"/>
          <w:sz w:val="20"/>
        </w:rPr>
      </w:pPr>
      <w:r>
        <w:rPr>
          <w:rFonts w:ascii="Times New Roman;serif" w:hAnsi="Times New Roman;serif"/>
          <w:b w:val="false"/>
          <w:color w:val="000000"/>
          <w:sz w:val="20"/>
        </w:rPr>
        <w:t>On January 14, 2025, the Company completed the January 2025 Offering in which it issued and sold 729,381 shares of its common stock at a price of $2.00 per share. The net proceeds received by the Company from the January 2025 Offering were $1.2 million, after deducting underwriting discounts, commissions and other offering expenses. The shares were offered by the Company pursuant to a shelf registration statement on Form S-3 filed with the SEC on July 1, 2024, and a final prospectus supplement dated January 15, 2025.</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consideration for Maxim Group LLC serving as the placement agent of the January 2025 Offering (the "January 2025 Placement Agent"), the Company paid the January 2025 Placement Agent a cash fee equal to 7.0% of the aggregate gross proceeds raised in the January 2025 Offering and the reimbursed the January 2025 Placement Agent for certain expenses and legal fees of $60,000. The Company also issued warrants to designees of the January 2025 Placement Agent (the "Placement Agent Warrants").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February 5, 2025, the Company completed the February 2025 Offering in which it issued 374,696 shares of its common stock at a public offering price of $1.85 per share and warrants to purchase up to 337,232 shares of common stock. The net proceeds received by the Company from the February 2025 Offering were $561,000 after deducting placement agent's fees and other offering expenses. The shares were offered by the Company pursuant to a shelf registration statement on Form S-3 filed with the SEC on July 1, 2024, and a final prospectus supplement dated February 6, 2025.</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consideration for Maxim Group LLC serving as the placement agent of the February 2025 Offering (the "February 2025 Placement Agent"), the Company paid the February 2025 Placement Agent a cash fee equal to 4.0% of the aggregate gross proceeds raised in the February 2025 Offering, reimbursed the February 2025 Placement Agent for certain expenses and legal fees of $35,000, and issued Placement Agent Warrants.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24, 2025, the Company entered into an ELOC with Alumni Capital, whereby the Company has the right, but not the obligation, to sell to Alumni Capital, and Alumni Capital is obligated to purchase, up to an aggregate of $20 million of shares of the Company’s common stock in a series of purchases. The term of the ELOC is through December 31, 2026, or the date on which Alumni Capital shall have purchased the shares pursuant to the ELOC for an aggregate purchase price of $20 million. During the term, the Company may at its election cause Alumni Capital to make a series of purchases of shares, each up to $750,000, or up to $4 million dollars upon consent of Alumni Capital. The closing of each purchase pursuant to the ELOC will be no later than five business days after the Company provides a notice to Alumni Capital. The purchase price of the shares that the Company elects to sell to Alumni Capital pursuant to the ELOC will be equal to the lowest daily volume weighted average price of the Common Stock during the period commencing on the date that the Company delivers a notice requiring the purchase of shares by Alumni Capital and ending on the earlier to occur of (i) five (5) business days immediately following such date and (ii) the date on which Alumni Capital notifies the Company that it is prepared to proceed with the relevant closing, multiplied by 90%.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On August 26, 2025, the Company entered into a Modification Agreement (the “Modification Agreement”) with Alumni Capital to amend certain terms of the Purchase Agreement, dated April 24, 2025, between the Company and Alumni Capital (the “Purchase Agreement”). Pursuant to the Modification Agreement, the Company may at its election, cause Alumni Capital to make a series of purchases of ELOC Shares either at (i) the lowest daily volume weighted average price of the Common Stock during the period commencing on the date that the Company delivers written notice (the “Purchase Notice”) and ending on the earlier of (a) five (5) business days immediately following the date of a Purchase Notice, and (b) the date on which Alumni Capital notifies the Company that it is prepared to proceed with the closing of the purchase, multiplied by 90% (“Purchase Notice Option 1”) or (ii) the lowest traded price of Common Stock during the period commencing on the date the Company delivers a Purchase Notice and ending on the earlier of (x) the same business day a Purchase Notice is delivered, and (y) the date on which Alumni Capital notifies the Company that it is prepared to proceed with the closing of the purchase, multiplied by 97% (“Purchase Notice Option 2”). Each Purchase Notice delivered by the Company must specify whether Purchase Notice Option 1 or Purchase Notice Option 2 is selected and the number of ELOC Shares to be purchased. All other terms and conditions of the Purchase Agreement remain in full force and effect. Refer to Note 7 regarding the terms of the warrants issued in conjunction with the shares.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ELOC, the Company has issued 9,255,823 shares of common stock, of which 1,300,000 shares were issued subsequent to December 31, 2025 and issued 895,579 warrants, of which 100,000 warrants were issued subsequent to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30835"/>
                <wp:effectExtent l="0" t="0" r="0" b="0"/>
                <wp:wrapNone/>
                <wp:docPr id="118" name="Frame104"/>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F-18</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F-18</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2025. As of the date of this filing, the gross proceeds received by the Company under the ELOC were approximately $6.2 million of which $0.2 million was received subsequent to December 31, 2025.</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November 24, 2025, the Company completed the PIPE Offering of 535,759 shares of common stock of the Company, Pre-Funded Warrants to purchase up to an aggregate of 4,151,741 shares of common at an exercise price of $0.0001 per Pre-Funded Warrant, and Common Warrants to purchase up to an aggregate of 4,687,500 shares of common stock at an exercise price of $0.32 per Common Warrant. The offering price was $0.32 per share of common stock or Pre-Funded Warrant and accompanying Common Warrant Price. The Pre-Funded Warrants are immediately exercisable and do not expire until exercised in full. The Common Warrants are exercisable upon shareholder approval and will expire on the five-year anniversary of shareholder approval.</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As of February 26, 2026, all Pre-Funded Warrants have been exercised by Alumni Capital.</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consideration for Maxim Group LLC serving as the placement agent for the PIPE Offering (the "PIPE Placement Agent"), the Company paid a cash fee equal to 7.0% of the aggregate gross proceeds raised in the PIPE Offering, reimbursed the PIPE Placement Agent for certain expenses and legal fees of $50,000, and issued Placement Agent Warrants.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December 31, 2024, per the Company’s amended and restated Certificate of Incorporation, the Company was authorized to issue 200,000,000 and 100,000,000 shares of $0.0001 par value common stock.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Each share of common stock entitles the holder to one vote on all matters submitted to a vote of the Company’s stockholders.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currently has 8,223,233 shares of common stock reserved for future issuance for the potential exercise of stock options and warrants outstanding at December 31, 2025. This number is exclusive of the 4,151,741 prefunded warrants.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Except as otherwise indicated, all share and share price amounts in this report gives effect to a forward stock split effected on May 17, 2023 at a ratio of 7.1-for-1, a reverse stock split effected on July 1, 2024 at a ratio of 1-for-30, and a reverse stock split effected on August 21, 2025 at a ratio of 1-for 6.66.</w:t>
      </w:r>
    </w:p>
    <w:p>
      <w:pPr>
        <w:pStyle w:val="TextBody"/>
        <w:bidi w:val="0"/>
        <w:spacing w:lineRule="auto" w:line="276" w:before="0" w:after="160"/>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At December 31, 2025 and December 31, 2024, per the Company’s amended and restated Certificate of Incorporation, the Company has authorized 10,000,000 shares of $0.0001 par value preferred stock.</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Upon the close of the Company’s IPO in June 2023, all of the then outstanding preferred stock converted to common stock, resulting in the issuance of shares of common stock in exchange for outstanding Series A (7,298 shares), Series A-1 (14,839 shares), and Series B Preferred Stock (16,439 shares), respectively. There was no gain or loss upon conversion.</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7. Warrants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issued warrants to purchase 238 shares of common stock in 2018 in conjunction with convertible debt financing that have a redemption provision providing the holder the right to have the Company redeem all or any portion of the warrant (or shares it has converted into) at a purchase price equal to the fair market value of the shares as determined by the board of directors or an independent appraiser. As a result of this redemption provision, the warrants have been classified as a liability in the financial statements based on ASC 480. These warrants have an exercise price of $95.90 per share and a term of 10 years. The warrants are marked to market each reporting period. The fair value was $— and $381 at December 31, 2025 and December 31, 2024, respectively.</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issued 300 warrants to its underwriters as part of our initial public offering in fiscal 2023. In fiscal 2024, the Company issued an additional 3,336 warrants in February, and 40,030 warrants in July to its underwriters as part of our February, and July Offerings. The underwriter warrants have a term of 5 years.</w:t>
      </w:r>
    </w:p>
    <w:p>
      <w:pPr>
        <w:pStyle w:val="TextBody"/>
        <w:bidi w:val="0"/>
        <w:spacing w:lineRule="auto" w:line="300" w:before="0" w:after="160"/>
        <w:jc w:val="both"/>
        <w:rPr/>
      </w:pPr>
      <w:r>
        <w:rPr>
          <w:rFonts w:ascii="Times New Roman;serif" w:hAnsi="Times New Roman;serif"/>
          <w:b w:val="false"/>
          <w:color w:val="000000"/>
          <w:sz w:val="20"/>
        </w:rPr>
        <w:t>In connection with the February 2024 Offering, the Company also issued warrants to designees to the February 2024 Placement Agent exercisable for an aggregate of 3,336 shares of Common Stock at an exercise price of $75.92 per share (125% of the $60.74 public offering price) and which expire on February 16, 2029. The warrants were evaluated in accordance with ASC 718</w:t>
      </w:r>
      <w:r>
        <w:rPr>
          <w:color w:val="000000"/>
        </w:rPr>
        <w:t xml:space="preserve"> </w:t>
      </w:r>
      <w:r>
        <w:rPr>
          <w:rFonts w:ascii="Times New Roman;serif" w:hAnsi="Times New Roman;serif"/>
          <w:b w:val="false"/>
          <w:color w:val="000000"/>
          <w:sz w:val="20"/>
        </w:rPr>
        <w:t>and recorded within stockholders' equity.</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 issued 2,001,502 Class A Warrants to investors who participated in the Company's July 2024 Offering. The Class A Warrants had an initial exercise price of $9.99 per share of Common Stock, however on August 24, 2024 the exercise price was reset to $4.69. See Note 6. The number of shares of Common Stock issuable upon exercise of the Class A Warrants were not proportionately adjusted in connection with the reset of the exercise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30835"/>
                <wp:effectExtent l="0" t="0" r="0" b="0"/>
                <wp:wrapNone/>
                <wp:docPr id="119" name="Frame105"/>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F-19</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F-19</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Class A Warrants are exercisable upon issuance and expire five years from the date of issuance. The Class A Warrants contain ownership limitations pursuant to which a holder does not have the right to exercise any portion of their warrants if it would result in the holder (together with its affiliates) beneficially owning more than 4.99% (or, at the election of the holder, 9.99%) of the Company’s outstanding Common Stock. The Class A Warrants are issued pursuant to a Warrant Agent Agreement dated July 25, 2024 (“Warrant Agent Agreement”) between the Company and VStock Transfer LLC, as warrant agent. In August 2024 150 warrants were exercised for proceeds of $704.</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July 2024 Offering, the Company evaluated the Class A Warrants and determined they met the criteria for liability classification as they met the criteria in ASC 815 - Derivatives and Hedging due to the reset provision. The Class A Warrants had an initial fair value of $12.1 million. The gross proceeds of $10.0 million from the July 2024 follow-on public offering was allocated to the Class A Warrants resulting in a loss on issuance of common stock of approximately $2.1 million recorded in Other income (expenses). Upon the reset of the Class A Warrant exercise price, the Class A Warrants no longer met the criteria for liability classification pursuant to ASC 815; at which time the Company recorded a gain in Other income (expenses) - Change in fair value of Class A warrants of $4.0 million, and reclassified $1.9 million to equity representing the difference between the change in the fair value, and the loss upon issuance of our common stock.</w:t>
      </w:r>
    </w:p>
    <w:p>
      <w:pPr>
        <w:pStyle w:val="TextBody"/>
        <w:bidi w:val="0"/>
        <w:spacing w:lineRule="auto" w:line="300" w:before="0" w:after="120"/>
        <w:jc w:val="both"/>
        <w:rPr>
          <w:rFonts w:ascii="Times New Roman;serif" w:hAnsi="Times New Roman;serif"/>
          <w:b w:val="false"/>
          <w:color w:val="000000"/>
          <w:sz w:val="20"/>
        </w:rPr>
      </w:pPr>
      <w:r>
        <w:rPr>
          <w:rFonts w:ascii="Times New Roman;serif" w:hAnsi="Times New Roman;serif"/>
          <w:b w:val="false"/>
          <w:color w:val="000000"/>
          <w:sz w:val="20"/>
        </w:rPr>
        <w:t>The Class A Warrants were valued utilizing a probability weighted scenario method with a Monte Carlo simulation model and Black-Scholes Model. The significant assumptions in the Monte Carlo simulation model include a stay public assumption of 90%, and a fundamental transaction assumption of 10%. The significant assumptions utilized in estimating the fair value of the Class A Warrants at issuance include (i) a per share price of common stock range of $1.14 - $1.40; (ii) a dividend yield of 0%; (iii) a risk-free rate range of 4.13% - 4.14%; (iv) expected volatility of 119%; (v) projected stock price and volume weighted average price as of the Reset Date of $1.14; (vi) a strike price range of $1.40 - $1.50; and (vii) expected term of 4.92 years.</w:t>
      </w:r>
    </w:p>
    <w:p>
      <w:pPr>
        <w:pStyle w:val="TextBody"/>
        <w:bidi w:val="0"/>
        <w:spacing w:lineRule="auto" w:line="300" w:before="0" w:after="160"/>
        <w:jc w:val="both"/>
        <w:rPr/>
      </w:pPr>
      <w:r>
        <w:rPr>
          <w:rFonts w:ascii="Times New Roman;serif" w:hAnsi="Times New Roman;serif"/>
          <w:b w:val="false"/>
          <w:color w:val="000000"/>
          <w:sz w:val="20"/>
        </w:rPr>
        <w:t>In connection with the July 2024 Offering, the Company also issued warrants to designees of the July 2024 Placement Agent exercisable for an aggregate of 40,030 shares of common stock. The warrants have substantially the same terms as the Class A Warrants, except that the July 2024 Placement Agent warrants have an exercise price equal to $12.49 per share (125% of the $9.99 public offering price), have an initial exercise date of January 23, 2025 and expire on July 23, 2029. The 2024 Placement Agent warrants were evaluated in accordance with ASC 718</w:t>
      </w:r>
      <w:r>
        <w:rPr>
          <w:color w:val="000000"/>
        </w:rPr>
        <w:t xml:space="preserve"> </w:t>
      </w:r>
      <w:r>
        <w:rPr>
          <w:rFonts w:ascii="Times New Roman;serif" w:hAnsi="Times New Roman;serif"/>
          <w:b w:val="false"/>
          <w:color w:val="000000"/>
          <w:sz w:val="20"/>
        </w:rPr>
        <w:t>and recorded within stockholders' equity.</w:t>
      </w:r>
    </w:p>
    <w:p>
      <w:pPr>
        <w:pStyle w:val="TextBody"/>
        <w:bidi w:val="0"/>
        <w:spacing w:lineRule="auto" w:line="300" w:before="0" w:after="160"/>
        <w:jc w:val="both"/>
        <w:rPr/>
      </w:pPr>
      <w:r>
        <w:rPr>
          <w:rFonts w:ascii="Times New Roman;serif" w:hAnsi="Times New Roman;serif"/>
          <w:b w:val="false"/>
          <w:color w:val="000000"/>
          <w:sz w:val="20"/>
        </w:rPr>
        <w:t>In connection with the January 2025 Offering, as consideration for Maxim Group LLC serving as the placement agent of the January 2025 Offering, the Company also issued warrants to designees of the January 2025 Placement Agent exercisable for an aggregate of 29,175 shares of common stock, which represent 4.0% of the aggregate number of shares of common stock sold in the offering, at an exercise price per share equal to 125% of the public offering price of $2.50. The warrants are exercisable six months from the date of issuance and expire five years from the commencement of the sales in this offering. The warrants may be exercisable via cashless exercise in certain circumstances. The warrants were evaluated in accordance with ASC 718</w:t>
      </w:r>
      <w:r>
        <w:rPr>
          <w:color w:val="000000"/>
        </w:rPr>
        <w:t xml:space="preserve"> </w:t>
      </w:r>
      <w:r>
        <w:rPr>
          <w:rFonts w:ascii="Times New Roman;serif" w:hAnsi="Times New Roman;serif"/>
          <w:b w:val="false"/>
          <w:color w:val="000000"/>
          <w:sz w:val="20"/>
        </w:rPr>
        <w:t>and recorded within stockholders' equity.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connection with the February 2025 Offering, the Company issued warrants to purchase up to 337,232 shares of common stock at an exercise price of $3.60. The warrants are exercisable on the six-month and one day anniversary of their issuance, and their exercise price was calculated as the greater of the (1) book value of the common stock or (ii) market value of the common stock as determined by the NYSE American Rules. The warrants were evaluated in accordance with ASC 718 and recorded within stockholders' equity.</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connection with shares issued to Alumni Capital under the terms of the ELOC, Alumni Capital will receive warrants to purchase such number of shares of the Company’s common stock equal to 10% of the number of shares purchased in the related purchase. The Exercise Price shall equal 130% of the price per share paid upon closing. The exercise of the warrant will be subject to stockholder approval and expire five years after issuance. The warrants may be exercised via cashless exercise if there is no effective registration statement, or current prospectus available for, the resale of the warrant shares. The Company has issued 895,579 warrants, of which 100,000 warrants were issued subsequent to December 31, 2025.</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connection with the PIPE Offering, the Company issued Pre-Funded Warrants to purchase up to 4,151,741 shares of common stock at an exercise price of $0.0001, and Common Warrants to purchase up to an aggregate of 4,687,500 shares of common stock at an exercise price of $0.32 per Common Warrant. The Pre-Funded Warrants are immediately exercisable and do not expire until exercised in full. The Common Warrants are exercisable upon shareholder approval and will expire on the five-year anniversary of shareholder approval. As of February 26, 2026, all Pre-Funded Warrants have been exercised by Alumni Capital.</w:t>
      </w:r>
    </w:p>
    <w:p>
      <w:pPr>
        <w:pStyle w:val="TextBody"/>
        <w:bidi w:val="0"/>
        <w:spacing w:lineRule="auto" w:line="300" w:before="0" w:after="160"/>
        <w:jc w:val="both"/>
        <w:rPr/>
      </w:pPr>
      <w:r>
        <w:rPr>
          <w:rFonts w:ascii="Times New Roman;serif" w:hAnsi="Times New Roman;serif"/>
          <w:b w:val="false"/>
          <w:color w:val="000000"/>
          <w:sz w:val="20"/>
        </w:rPr>
        <w:t>In connection with the PIPE Offering, as consideration for Maxim Group LLC serving as the placement agent, the Company also issued warrants to designees of the PIPE Placement Agent exercisable for an aggregate of 187,500 shares of common stock, which represent 4.0% of the aggregate number of shares of common stock sold in the offering, at an exercise price per share equal to 125% of the public offering price of 0.32. The warrants are exercisable six months from the date of issuance and expire five years from the commencement of the sales in this offering. The warrants may be exercisable via cashless exercise in certain circumstances. The warrants were evaluated in accordance with ASC 718</w:t>
      </w:r>
      <w:r>
        <w:rPr>
          <w:color w:val="000000"/>
        </w:rPr>
        <w:t xml:space="preserve"> </w:t>
      </w:r>
      <w:r>
        <w:rPr>
          <w:rFonts w:ascii="Times New Roman;serif" w:hAnsi="Times New Roman;serif"/>
          <w:b w:val="false"/>
          <w:color w:val="000000"/>
          <w:sz w:val="20"/>
        </w:rPr>
        <w:t>and recorded within stockholders'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30835"/>
                <wp:effectExtent l="0" t="0" r="0" b="0"/>
                <wp:wrapNone/>
                <wp:docPr id="120" name="Frame106"/>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warrants outstanding at December 31, 2025:</w:t>
      </w:r>
    </w:p>
    <w:tbl>
      <w:tblPr>
        <w:tblW w:w="11559" w:type="dxa"/>
        <w:jc w:val="center"/>
        <w:tblInd w:w="0" w:type="dxa"/>
        <w:tblLayout w:type="fixed"/>
        <w:tblCellMar>
          <w:top w:w="28" w:type="dxa"/>
          <w:left w:w="28" w:type="dxa"/>
          <w:bottom w:w="28" w:type="dxa"/>
          <w:right w:w="28" w:type="dxa"/>
        </w:tblCellMar>
      </w:tblPr>
      <w:tblGrid>
        <w:gridCol w:w="299"/>
        <w:gridCol w:w="263"/>
        <w:gridCol w:w="264"/>
        <w:gridCol w:w="109"/>
        <w:gridCol w:w="109"/>
        <w:gridCol w:w="109"/>
        <w:gridCol w:w="211"/>
        <w:gridCol w:w="871"/>
        <w:gridCol w:w="109"/>
        <w:gridCol w:w="109"/>
        <w:gridCol w:w="109"/>
        <w:gridCol w:w="109"/>
        <w:gridCol w:w="666"/>
        <w:gridCol w:w="310"/>
        <w:gridCol w:w="311"/>
        <w:gridCol w:w="109"/>
        <w:gridCol w:w="109"/>
        <w:gridCol w:w="109"/>
        <w:gridCol w:w="375"/>
        <w:gridCol w:w="375"/>
        <w:gridCol w:w="376"/>
        <w:gridCol w:w="109"/>
        <w:gridCol w:w="109"/>
        <w:gridCol w:w="109"/>
        <w:gridCol w:w="211"/>
        <w:gridCol w:w="871"/>
        <w:gridCol w:w="109"/>
        <w:gridCol w:w="109"/>
        <w:gridCol w:w="109"/>
        <w:gridCol w:w="109"/>
        <w:gridCol w:w="666"/>
        <w:gridCol w:w="310"/>
        <w:gridCol w:w="311"/>
        <w:gridCol w:w="109"/>
        <w:gridCol w:w="109"/>
        <w:gridCol w:w="109"/>
        <w:gridCol w:w="375"/>
        <w:gridCol w:w="375"/>
        <w:gridCol w:w="376"/>
        <w:gridCol w:w="109"/>
        <w:gridCol w:w="109"/>
        <w:gridCol w:w="109"/>
        <w:gridCol w:w="211"/>
        <w:gridCol w:w="87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Warrants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Warrant Exercisable</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Year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Warrants at 12/31/2025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Remaining Contractual Life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Warrants at 12/31/2025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Remaining Contractual Life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rPr/>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1,054.94 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3,336 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2,001,349 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2,001,349 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40,030 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40,030 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29,175 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29,175 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337,232 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337,232 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11,216 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11,261 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15,015 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15,015 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4,151,741 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4,151,741 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30835"/>
                <wp:effectExtent l="0" t="0" r="0" b="0"/>
                <wp:wrapNone/>
                <wp:docPr id="121" name="Frame107"/>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F-21</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F-21</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tbl>
      <w:tblPr>
        <w:tblW w:w="8794" w:type="dxa"/>
        <w:jc w:val="center"/>
        <w:tblInd w:w="0" w:type="dxa"/>
        <w:tblLayout w:type="fixed"/>
        <w:tblCellMar>
          <w:top w:w="28" w:type="dxa"/>
          <w:left w:w="28" w:type="dxa"/>
          <w:bottom w:w="28" w:type="dxa"/>
          <w:right w:w="28" w:type="dxa"/>
        </w:tblCellMar>
      </w:tblPr>
      <w:tblGrid>
        <w:gridCol w:w="196"/>
        <w:gridCol w:w="172"/>
        <w:gridCol w:w="173"/>
        <w:gridCol w:w="109"/>
        <w:gridCol w:w="109"/>
        <w:gridCol w:w="109"/>
        <w:gridCol w:w="211"/>
        <w:gridCol w:w="511"/>
        <w:gridCol w:w="109"/>
        <w:gridCol w:w="109"/>
        <w:gridCol w:w="109"/>
        <w:gridCol w:w="109"/>
        <w:gridCol w:w="540"/>
        <w:gridCol w:w="541"/>
        <w:gridCol w:w="109"/>
        <w:gridCol w:w="109"/>
        <w:gridCol w:w="109"/>
        <w:gridCol w:w="109"/>
        <w:gridCol w:w="274"/>
        <w:gridCol w:w="274"/>
        <w:gridCol w:w="276"/>
        <w:gridCol w:w="109"/>
        <w:gridCol w:w="109"/>
        <w:gridCol w:w="109"/>
        <w:gridCol w:w="211"/>
        <w:gridCol w:w="511"/>
        <w:gridCol w:w="109"/>
        <w:gridCol w:w="109"/>
        <w:gridCol w:w="109"/>
        <w:gridCol w:w="109"/>
        <w:gridCol w:w="488"/>
        <w:gridCol w:w="488"/>
        <w:gridCol w:w="109"/>
        <w:gridCol w:w="109"/>
        <w:gridCol w:w="109"/>
        <w:gridCol w:w="109"/>
        <w:gridCol w:w="109"/>
        <w:gridCol w:w="109"/>
        <w:gridCol w:w="109"/>
        <w:gridCol w:w="109"/>
        <w:gridCol w:w="109"/>
        <w:gridCol w:w="109"/>
        <w:gridCol w:w="211"/>
        <w:gridCol w:w="511"/>
        <w:gridCol w:w="15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4,687,500 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12,235,052 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7,360,052 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before="0" w:after="2"/>
        <w:jc w:val="both"/>
        <w:rPr/>
      </w:pPr>
      <w:r>
        <w:rPr/>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8. Stock Options</w:t>
      </w:r>
    </w:p>
    <w:p>
      <w:pPr>
        <w:pStyle w:val="TextBody"/>
        <w:bidi w:val="0"/>
        <w:spacing w:lineRule="auto" w:line="300" w:before="0" w:after="160"/>
        <w:jc w:val="both"/>
        <w:rPr/>
      </w:pPr>
      <w:r>
        <w:rPr>
          <w:rFonts w:ascii="Times New Roman;serif" w:hAnsi="Times New Roman;serif"/>
          <w:b w:val="false"/>
          <w:color w:val="000000"/>
          <w:sz w:val="20"/>
        </w:rPr>
        <w:t>In March 2023, the Company’s Board of Directors and stockholders approved the 2023 Stock Incentive Plan (“2023 Plan”). The 2023 Plan allows the Compensation Committee to grant up to 181,842 shares of Common Stock in the form of incentive and non-statutory stock options, restricted stock awards, restricted stock units, and other stock-based awards to employees, directors, and non-employees. As of December 31, 2025, options to purchase 134,200 shares of common stock had been granted and were outstanding under the 2023 Plan and 47,558 shares of common stock were available for grant under the plan. On October 3, 2024, the Company’s Board of Directors approved amendments to the 2023 Plan that, subject to stockholder approval, would (i) increase the number of shares of Common Stock that may be issued under the 2023 Plan by 171,832 shares and (ii) adopt an evergreen provision to the 2023 Plan providing for an automatic 5% annual increase in the shares of Common Stock available for issuance under the 2023 Plan over the next 10 years.</w:t>
      </w:r>
      <w:r>
        <w:rPr>
          <w:color w:val="000000"/>
        </w:rPr>
        <w:t xml:space="preserve"> </w:t>
      </w:r>
      <w:r>
        <w:rPr>
          <w:rFonts w:ascii="Times New Roman;serif" w:hAnsi="Times New Roman;serif"/>
          <w:b w:val="false"/>
          <w:color w:val="000000"/>
          <w:sz w:val="20"/>
        </w:rPr>
        <w:t>Both amendments were approved by the Company’s stockholders at the Company’s annual stockholder meeting held on November 20, 2024. On January 1, 2026, the shares of Common Stock that may be issued under the 2023 Plan increased by 537,034 shares in accordance with the evergreen provision.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2016, the Company established the Azitra Inc. 2016 Stock Incentive Plan ("2016 Plan") which provides for the grant up to 7,460 shares of Common Stock in the form of stock options and restricted shares to the Company’s employees, officers, directors, advisors and consultants. As of December 31, 2025, options to purchase 6,539 shares of common stock had been granted and 1,436 shares of common stock were available for grant under the 2016 Plan.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At December 31, 2025, there was $49,504 of unamortized compensation expense that will be amortized over the remaining vesting period. The Company determined the options qualified as plain vanilla under the provisions of SAB 107 and the simplified method was used to estimate the expected option life.</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To determine the estimated fair value of the options granted during 2025, the Company used the Black-Scholes option pricing model with the following assumptions: Underlying common stock value of $.30; Expected term of 6.5 to 10 years; Expected Volatility of 86.7%; to 89.1% Risk Free Interest Rate of 3.86% - 4.12%; and Dividend Yield of —%.</w:t>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recognized for options was as follows:</w:t>
      </w:r>
    </w:p>
    <w:tbl>
      <w:tblPr>
        <w:tblW w:w="7086" w:type="dxa"/>
        <w:jc w:val="left"/>
        <w:tblInd w:w="0" w:type="dxa"/>
        <w:tblLayout w:type="fixed"/>
        <w:tblCellMar>
          <w:top w:w="28" w:type="dxa"/>
          <w:left w:w="28" w:type="dxa"/>
          <w:bottom w:w="28" w:type="dxa"/>
          <w:right w:w="28" w:type="dxa"/>
        </w:tblCellMar>
      </w:tblPr>
      <w:tblGrid>
        <w:gridCol w:w="837"/>
        <w:gridCol w:w="734"/>
        <w:gridCol w:w="738"/>
        <w:gridCol w:w="109"/>
        <w:gridCol w:w="109"/>
        <w:gridCol w:w="224"/>
        <w:gridCol w:w="224"/>
        <w:gridCol w:w="224"/>
        <w:gridCol w:w="224"/>
        <w:gridCol w:w="435"/>
        <w:gridCol w:w="1486"/>
        <w:gridCol w:w="224"/>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7"/>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For the Years Ended December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61,393 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242,548 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62,744 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30835"/>
                <wp:effectExtent l="0" t="0" r="0" b="0"/>
                <wp:wrapNone/>
                <wp:docPr id="122" name="Frame108"/>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F-22</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F-22</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options outstanding and exercisable at December 31, 2025:</w:t>
      </w:r>
    </w:p>
    <w:tbl>
      <w:tblPr>
        <w:tblW w:w="10205" w:type="dxa"/>
        <w:jc w:val="center"/>
        <w:tblInd w:w="0" w:type="dxa"/>
        <w:tblLayout w:type="fixed"/>
        <w:tblCellMar>
          <w:top w:w="28" w:type="dxa"/>
          <w:left w:w="28" w:type="dxa"/>
          <w:bottom w:w="28" w:type="dxa"/>
          <w:right w:w="28" w:type="dxa"/>
        </w:tblCellMar>
      </w:tblPr>
      <w:tblGrid>
        <w:gridCol w:w="228"/>
        <w:gridCol w:w="729"/>
        <w:gridCol w:w="110"/>
        <w:gridCol w:w="109"/>
        <w:gridCol w:w="109"/>
        <w:gridCol w:w="109"/>
        <w:gridCol w:w="534"/>
        <w:gridCol w:w="355"/>
        <w:gridCol w:w="356"/>
        <w:gridCol w:w="109"/>
        <w:gridCol w:w="109"/>
        <w:gridCol w:w="109"/>
        <w:gridCol w:w="415"/>
        <w:gridCol w:w="415"/>
        <w:gridCol w:w="416"/>
        <w:gridCol w:w="109"/>
        <w:gridCol w:w="109"/>
        <w:gridCol w:w="109"/>
        <w:gridCol w:w="226"/>
        <w:gridCol w:w="775"/>
        <w:gridCol w:w="117"/>
        <w:gridCol w:w="109"/>
        <w:gridCol w:w="109"/>
        <w:gridCol w:w="109"/>
        <w:gridCol w:w="433"/>
        <w:gridCol w:w="355"/>
        <w:gridCol w:w="356"/>
        <w:gridCol w:w="109"/>
        <w:gridCol w:w="109"/>
        <w:gridCol w:w="109"/>
        <w:gridCol w:w="415"/>
        <w:gridCol w:w="415"/>
        <w:gridCol w:w="416"/>
        <w:gridCol w:w="109"/>
        <w:gridCol w:w="109"/>
        <w:gridCol w:w="109"/>
        <w:gridCol w:w="226"/>
        <w:gridCol w:w="773"/>
        <w:gridCol w:w="178"/>
      </w:tblGrid>
      <w:tr>
        <w:trPr/>
        <w:tc>
          <w:tcPr>
            <w:tcW w:w="2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3"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1"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Options Exercisable</w:t>
            </w:r>
          </w:p>
        </w:tc>
      </w:tr>
      <w:tr>
        <w:trPr/>
        <w:tc>
          <w:tcPr>
            <w:tcW w:w="106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Options at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Remaining 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Options at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Remaining 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rPr/>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134,084 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33,440 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185.15 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185.15 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185.15 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139,922 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39,196 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Total stock option activity for the year ended December 31, 2025, is summarized as follows:</w:t>
      </w:r>
    </w:p>
    <w:tbl>
      <w:tblPr>
        <w:tblW w:w="10205" w:type="dxa"/>
        <w:jc w:val="center"/>
        <w:tblInd w:w="0" w:type="dxa"/>
        <w:tblLayout w:type="fixed"/>
        <w:tblCellMar>
          <w:top w:w="28" w:type="dxa"/>
          <w:left w:w="28" w:type="dxa"/>
          <w:bottom w:w="28" w:type="dxa"/>
          <w:right w:w="28" w:type="dxa"/>
        </w:tblCellMar>
      </w:tblPr>
      <w:tblGrid>
        <w:gridCol w:w="721"/>
        <w:gridCol w:w="632"/>
        <w:gridCol w:w="636"/>
        <w:gridCol w:w="109"/>
        <w:gridCol w:w="109"/>
        <w:gridCol w:w="109"/>
        <w:gridCol w:w="413"/>
        <w:gridCol w:w="413"/>
        <w:gridCol w:w="256"/>
        <w:gridCol w:w="109"/>
        <w:gridCol w:w="109"/>
        <w:gridCol w:w="109"/>
        <w:gridCol w:w="335"/>
        <w:gridCol w:w="1145"/>
        <w:gridCol w:w="173"/>
        <w:gridCol w:w="109"/>
        <w:gridCol w:w="109"/>
        <w:gridCol w:w="109"/>
        <w:gridCol w:w="774"/>
        <w:gridCol w:w="774"/>
        <w:gridCol w:w="777"/>
        <w:gridCol w:w="109"/>
        <w:gridCol w:w="109"/>
        <w:gridCol w:w="109"/>
        <w:gridCol w:w="539"/>
        <w:gridCol w:w="539"/>
        <w:gridCol w:w="770"/>
      </w:tblGrid>
      <w:tr>
        <w:trPr/>
        <w:tc>
          <w:tcPr>
            <w:tcW w:w="72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277.06 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134,084 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139,922 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Vested and Exercisable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39,196 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before="0" w:after="2"/>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30835"/>
                <wp:effectExtent l="0" t="0" r="0" b="0"/>
                <wp:wrapNone/>
                <wp:docPr id="123" name="Frame109"/>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F-23</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F-23</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9. Fair Value Measurements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fair values and levels within the fair value hierarchy in which the fair value measurements fall for assets and liabilities measured on a recurring basis as of:</w:t>
      </w:r>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December 31, 2025</w:t>
      </w:r>
    </w:p>
    <w:p>
      <w:pPr>
        <w:pStyle w:val="TextBody"/>
        <w:bidi w:val="0"/>
        <w:spacing w:before="0" w:after="2"/>
        <w:jc w:val="both"/>
        <w:rPr/>
      </w:pPr>
      <w:r>
        <w:rPr/>
      </w:r>
    </w:p>
    <w:tbl>
      <w:tblPr>
        <w:tblW w:w="6677" w:type="dxa"/>
        <w:jc w:val="center"/>
        <w:tblInd w:w="0" w:type="dxa"/>
        <w:tblLayout w:type="fixed"/>
        <w:tblCellMar>
          <w:top w:w="28" w:type="dxa"/>
          <w:left w:w="28" w:type="dxa"/>
          <w:bottom w:w="28" w:type="dxa"/>
          <w:right w:w="28" w:type="dxa"/>
        </w:tblCellMar>
      </w:tblPr>
      <w:tblGrid>
        <w:gridCol w:w="124"/>
        <w:gridCol w:w="109"/>
        <w:gridCol w:w="109"/>
        <w:gridCol w:w="684"/>
        <w:gridCol w:w="684"/>
        <w:gridCol w:w="686"/>
        <w:gridCol w:w="109"/>
        <w:gridCol w:w="109"/>
        <w:gridCol w:w="109"/>
        <w:gridCol w:w="213"/>
        <w:gridCol w:w="411"/>
        <w:gridCol w:w="110"/>
        <w:gridCol w:w="109"/>
        <w:gridCol w:w="109"/>
        <w:gridCol w:w="109"/>
        <w:gridCol w:w="213"/>
        <w:gridCol w:w="411"/>
        <w:gridCol w:w="110"/>
        <w:gridCol w:w="109"/>
        <w:gridCol w:w="109"/>
        <w:gridCol w:w="109"/>
        <w:gridCol w:w="213"/>
        <w:gridCol w:w="411"/>
        <w:gridCol w:w="110"/>
        <w:gridCol w:w="109"/>
        <w:gridCol w:w="109"/>
        <w:gridCol w:w="109"/>
        <w:gridCol w:w="211"/>
        <w:gridCol w:w="40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December 31, 2024</w:t>
      </w:r>
    </w:p>
    <w:tbl>
      <w:tblPr>
        <w:tblW w:w="6789" w:type="dxa"/>
        <w:jc w:val="center"/>
        <w:tblInd w:w="0" w:type="dxa"/>
        <w:tblLayout w:type="fixed"/>
        <w:tblCellMar>
          <w:top w:w="28" w:type="dxa"/>
          <w:left w:w="28" w:type="dxa"/>
          <w:bottom w:w="28" w:type="dxa"/>
          <w:right w:w="28" w:type="dxa"/>
        </w:tblCellMar>
      </w:tblPr>
      <w:tblGrid>
        <w:gridCol w:w="124"/>
        <w:gridCol w:w="109"/>
        <w:gridCol w:w="109"/>
        <w:gridCol w:w="684"/>
        <w:gridCol w:w="684"/>
        <w:gridCol w:w="686"/>
        <w:gridCol w:w="109"/>
        <w:gridCol w:w="109"/>
        <w:gridCol w:w="109"/>
        <w:gridCol w:w="213"/>
        <w:gridCol w:w="411"/>
        <w:gridCol w:w="110"/>
        <w:gridCol w:w="109"/>
        <w:gridCol w:w="109"/>
        <w:gridCol w:w="109"/>
        <w:gridCol w:w="213"/>
        <w:gridCol w:w="411"/>
        <w:gridCol w:w="110"/>
        <w:gridCol w:w="109"/>
        <w:gridCol w:w="109"/>
        <w:gridCol w:w="109"/>
        <w:gridCol w:w="211"/>
        <w:gridCol w:w="466"/>
        <w:gridCol w:w="109"/>
        <w:gridCol w:w="109"/>
        <w:gridCol w:w="109"/>
        <w:gridCol w:w="109"/>
        <w:gridCol w:w="211"/>
        <w:gridCol w:w="46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Level 3 instruments measured on a recurring basis for the period ended December 31, 2025:</w:t>
      </w:r>
    </w:p>
    <w:tbl>
      <w:tblPr>
        <w:tblW w:w="4187" w:type="dxa"/>
        <w:jc w:val="center"/>
        <w:tblInd w:w="0" w:type="dxa"/>
        <w:tblLayout w:type="fixed"/>
        <w:tblCellMar>
          <w:top w:w="28" w:type="dxa"/>
          <w:left w:w="28" w:type="dxa"/>
          <w:bottom w:w="28" w:type="dxa"/>
          <w:right w:w="28" w:type="dxa"/>
        </w:tblCellMar>
      </w:tblPr>
      <w:tblGrid>
        <w:gridCol w:w="1004"/>
        <w:gridCol w:w="882"/>
        <w:gridCol w:w="888"/>
        <w:gridCol w:w="109"/>
        <w:gridCol w:w="109"/>
        <w:gridCol w:w="109"/>
        <w:gridCol w:w="211"/>
        <w:gridCol w:w="721"/>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35,453 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fair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fair value of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December 31, 2024, the Company estimated the fair value of the warrants using the Black-Scholes option pricing model with the following assumptions: </w:t>
      </w:r>
    </w:p>
    <w:tbl>
      <w:tblPr>
        <w:tblW w:w="6270" w:type="dxa"/>
        <w:jc w:val="center"/>
        <w:tblInd w:w="0" w:type="dxa"/>
        <w:tblLayout w:type="fixed"/>
        <w:tblCellMar>
          <w:top w:w="28" w:type="dxa"/>
          <w:left w:w="28" w:type="dxa"/>
          <w:bottom w:w="28" w:type="dxa"/>
          <w:right w:w="28" w:type="dxa"/>
        </w:tblCellMar>
      </w:tblPr>
      <w:tblGrid>
        <w:gridCol w:w="1006"/>
        <w:gridCol w:w="882"/>
        <w:gridCol w:w="887"/>
        <w:gridCol w:w="366"/>
        <w:gridCol w:w="888"/>
        <w:gridCol w:w="471"/>
        <w:gridCol w:w="360"/>
        <w:gridCol w:w="871"/>
        <w:gridCol w:w="539"/>
      </w:tblGrid>
      <w:tr>
        <w:trPr/>
        <w:tc>
          <w:tcPr>
            <w:tcW w:w="100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7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Underlying common stock value</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3.29</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5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5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Fluctuations in the fair value of the Company’s common stock, and the expected volatility are the primary drivers for the change in the common stock warrant liability valuation during each year. As the fair value of the common stock, and expected volatility increases the value to the holder of the instrument generally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10. Net Loss Per Share</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potential common stock equivalents, presented based on amounts outstanding at each period end, were excluded from the calculation of diluted net loss per share for the periods indicated because including them would have had an anti-dilutive effect. Warrants outstanding are exclusive of prefunded warrants as they are included in the company calculation of both basic and diluted earnings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30835"/>
                <wp:effectExtent l="0" t="0" r="0" b="0"/>
                <wp:wrapNone/>
                <wp:docPr id="124" name="Frame110"/>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F-24</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F-24</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tbl>
      <w:tblPr>
        <w:tblW w:w="6244" w:type="dxa"/>
        <w:jc w:val="left"/>
        <w:tblInd w:w="0" w:type="dxa"/>
        <w:tblLayout w:type="fixed"/>
        <w:tblCellMar>
          <w:top w:w="28" w:type="dxa"/>
          <w:left w:w="28" w:type="dxa"/>
          <w:bottom w:w="28" w:type="dxa"/>
          <w:right w:w="28" w:type="dxa"/>
        </w:tblCellMar>
      </w:tblPr>
      <w:tblGrid>
        <w:gridCol w:w="1345"/>
        <w:gridCol w:w="1185"/>
        <w:gridCol w:w="1190"/>
        <w:gridCol w:w="488"/>
        <w:gridCol w:w="488"/>
        <w:gridCol w:w="176"/>
        <w:gridCol w:w="138"/>
        <w:gridCol w:w="138"/>
        <w:gridCol w:w="138"/>
        <w:gridCol w:w="360"/>
        <w:gridCol w:w="361"/>
        <w:gridCol w:w="237"/>
      </w:tblGrid>
      <w:tr>
        <w:trPr/>
        <w:tc>
          <w:tcPr>
            <w:tcW w:w="134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Options to purchase shares of common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139,922 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6,247 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Warrants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8,083,311 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8,223,233 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11,204 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30835"/>
                <wp:effectExtent l="0" t="0" r="0" b="0"/>
                <wp:wrapNone/>
                <wp:docPr id="125" name="Frame111"/>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F-25</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F-25</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for the years ending December 31, 2025 and December 31, 2024 consists of:</w:t>
      </w:r>
    </w:p>
    <w:tbl>
      <w:tblPr>
        <w:tblW w:w="4796" w:type="dxa"/>
        <w:jc w:val="left"/>
        <w:tblInd w:w="0" w:type="dxa"/>
        <w:tblLayout w:type="fixed"/>
        <w:tblCellMar>
          <w:top w:w="28" w:type="dxa"/>
          <w:left w:w="28" w:type="dxa"/>
          <w:bottom w:w="28" w:type="dxa"/>
          <w:right w:w="28" w:type="dxa"/>
        </w:tblCellMar>
      </w:tblPr>
      <w:tblGrid>
        <w:gridCol w:w="1043"/>
        <w:gridCol w:w="915"/>
        <w:gridCol w:w="921"/>
        <w:gridCol w:w="211"/>
        <w:gridCol w:w="616"/>
        <w:gridCol w:w="109"/>
        <w:gridCol w:w="211"/>
        <w:gridCol w:w="61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current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Deferred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7"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deferred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 provision for income taxes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9,031 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adopted ASU 2023-09 “Income Taxes (Topic 740): Improvements to Income Tax Disclosures” on a prospective basis for the year ended December 31, 2025. A reconciliation of income tax computed using the U.S. federal statutory tax rate compared to that reflected in operations, as required by ASU 2023-09, for the years ending December 31, 2025 and December 31, 2024 consists of:</w:t>
      </w:r>
    </w:p>
    <w:tbl>
      <w:tblPr>
        <w:tblW w:w="8540" w:type="dxa"/>
        <w:jc w:val="left"/>
        <w:tblInd w:w="0" w:type="dxa"/>
        <w:tblLayout w:type="fixed"/>
        <w:tblCellMar>
          <w:top w:w="28" w:type="dxa"/>
          <w:left w:w="28" w:type="dxa"/>
          <w:bottom w:w="28" w:type="dxa"/>
          <w:right w:w="28" w:type="dxa"/>
        </w:tblCellMar>
      </w:tblPr>
      <w:tblGrid>
        <w:gridCol w:w="1144"/>
        <w:gridCol w:w="1008"/>
        <w:gridCol w:w="1012"/>
        <w:gridCol w:w="211"/>
        <w:gridCol w:w="1051"/>
        <w:gridCol w:w="109"/>
        <w:gridCol w:w="344"/>
        <w:gridCol w:w="346"/>
        <w:gridCol w:w="437"/>
        <w:gridCol w:w="109"/>
        <w:gridCol w:w="109"/>
        <w:gridCol w:w="109"/>
        <w:gridCol w:w="211"/>
        <w:gridCol w:w="1051"/>
        <w:gridCol w:w="109"/>
        <w:gridCol w:w="344"/>
        <w:gridCol w:w="346"/>
        <w:gridCol w:w="490"/>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6"/>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Amount</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taxes using U.S.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(2,300,519)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(1,870,405)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Warrant fair value adjustment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(847,155)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4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Issuance of Common Stock</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4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3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(704,887)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4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(266,515)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4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(385,677)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4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Change in valuation allowance </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2,532,821 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(23.12)</w:t>
            </w:r>
          </w:p>
        </w:tc>
        <w:tc>
          <w:tcPr>
            <w:tcW w:w="43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3,263,544 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(36.64)</w:t>
            </w:r>
          </w:p>
        </w:tc>
        <w:tc>
          <w:tcPr>
            <w:tcW w:w="4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4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Nontaxable/Nondeductible Items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43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4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4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8,319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(0.06)</w:t>
            </w:r>
          </w:p>
        </w:tc>
        <w:tc>
          <w:tcPr>
            <w:tcW w:w="4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0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9,031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(0.10)</w:t>
            </w:r>
          </w:p>
        </w:tc>
        <w:tc>
          <w:tcPr>
            <w:tcW w:w="4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30835"/>
                <wp:effectExtent l="0" t="0" r="0" b="0"/>
                <wp:wrapNone/>
                <wp:docPr id="126" name="Frame112"/>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F-26</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F-26</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Deferred income taxes are provided on temporary differences between the carrying amounts of assets and liabilities for financial reporting purposes and those for income tax reporting purposes. Deferred income tax assets / (liabilities) as of December 31, 2025 and 2024 are as follows:</w:t>
      </w:r>
    </w:p>
    <w:tbl>
      <w:tblPr>
        <w:tblW w:w="5903" w:type="dxa"/>
        <w:jc w:val="left"/>
        <w:tblInd w:w="0" w:type="dxa"/>
        <w:tblLayout w:type="fixed"/>
        <w:tblCellMar>
          <w:top w:w="28" w:type="dxa"/>
          <w:left w:w="28" w:type="dxa"/>
          <w:bottom w:w="28" w:type="dxa"/>
          <w:right w:w="28" w:type="dxa"/>
        </w:tblCellMar>
      </w:tblPr>
      <w:tblGrid>
        <w:gridCol w:w="990"/>
        <w:gridCol w:w="868"/>
        <w:gridCol w:w="871"/>
        <w:gridCol w:w="211"/>
        <w:gridCol w:w="1081"/>
        <w:gridCol w:w="109"/>
        <w:gridCol w:w="109"/>
        <w:gridCol w:w="109"/>
        <w:gridCol w:w="109"/>
        <w:gridCol w:w="211"/>
        <w:gridCol w:w="1081"/>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14,152,937 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10,360,042 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3,061,055 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2,632,663 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2,756,203 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3,566,210 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89,324 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20,000,410 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16,666,457 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(20,000,410)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(16,666,457)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federal net operating loss carryforwards of approximately $52,575,000 and $38,488,000 for the tax years ending December 31, 2025 and 2024, respectively, of which $1,285,000 will expire in tax years 2036 through 2037 and approximately $51,290,000 which does not expire. The Company has state net operating loss carryforwards of approximately $52,526,000 and $38,441,000 for the tax years ending December 31, 2025 and 2024, respectively, which will expire in tax years 2036 through 2045.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has federal research tax credits of approximately $2,151,000 and $1,884,000 for the tax years ending December 31, 2025 and 2024, respectively, which expire in tax years 2039 through 2043. The Company has state research tax credits of approximately $706,000 and $582,000 for the tax years ending December 31, 2025 and 2024, respectively, of which $569,000 will expire in tax year 2036 through 2040 and the remainder can be carried forward indefinitely. The Company has Canadian research tax credits of approximately $352,000 and $288,000 for the tax years ending December 31, 2025 and 2024, respectively, which expire in tax years 2039 through 2045.</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U.S. Internal Revenue Code Section 382 imposes an annual limit on the ability of a corporation that undergoes a greater than 50% ownership change to use its net operating loss carry forwards to reduce its tax liability. If in the future the Company undergoes an ownership change exceeding the 50% limitation threshold imposed by Section 382, the Company’s net operating loss carryforwards may be significantly limited as to the amount of use in a particular year. In addition, all or a portion of the Company’s net operating loss carryforwards incurred before 2018, may expire unutilized.</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realization of deferred tax assets is dependent upon the Company’s ability to generate future taxable income during the periods in which the temporary differences become deductible. Based on the Company’s recent earnings history and projected future U.S. earnings, management believes that it is more likely than not that its federal and state deferred tax assets will not be fully realized in the foreseeable future. As a result of this assessment, management believes that a full valuation allowance against its net federal and state deferred tax assets is required.</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applies the provisions of ASC 740-10 to account for uncertain tax positions. ASC 740-10 addresses the determination of whether tax benefits claimed or expected to be claimed on a tax return should be recorded in the financial statements. Under ASC 740-10, the Company may recognize the tax benefit from an uncertain tax 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30835"/>
                <wp:effectExtent l="0" t="0" r="0" b="0"/>
                <wp:wrapNone/>
                <wp:docPr id="127" name="Frame113"/>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F-27</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F-27</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only if it is more likely that not that the tax position will be sustained on examination by the taxing authorities, based on the technical merits of the position. The Company has determined that it has no significant uncertain tax positions requiring recognition and measurement under ASC 740-10.</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is subject to U.S. federal income tax, Connecticut state income tax and Canada branch tax. The Company has not been audited by the IRS, state, or foreign tax authorities in connection with income taxes. The Company’s tax years remain open to examination for all federal and state tax matters until its net operating loss carryforwards are utilized and the applicable statute of limitations have expired. The Company’s tax years remain open to examination for all federal and state tax matters until its net operating loss carryforwards are utilized and the applicable statute of limitations have expired.</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Company adopting ASU 2023-09, the table below is presented to provide cash income taxes paid (net of refunds received) for the year ended December 31, 2025.</w:t>
      </w:r>
    </w:p>
    <w:p>
      <w:pPr>
        <w:pStyle w:val="TextBody"/>
        <w:bidi w:val="0"/>
        <w:spacing w:before="0" w:after="0"/>
        <w:jc w:val="both"/>
        <w:rPr/>
      </w:pPr>
      <w:r>
        <w:rPr/>
      </w:r>
    </w:p>
    <w:tbl>
      <w:tblPr>
        <w:tblW w:w="3103" w:type="dxa"/>
        <w:jc w:val="left"/>
        <w:tblInd w:w="0" w:type="dxa"/>
        <w:tblLayout w:type="fixed"/>
        <w:tblCellMar>
          <w:top w:w="28" w:type="dxa"/>
          <w:left w:w="28" w:type="dxa"/>
          <w:bottom w:w="28" w:type="dxa"/>
          <w:right w:w="28" w:type="dxa"/>
        </w:tblCellMar>
      </w:tblPr>
      <w:tblGrid>
        <w:gridCol w:w="483"/>
        <w:gridCol w:w="423"/>
        <w:gridCol w:w="428"/>
        <w:gridCol w:w="380"/>
        <w:gridCol w:w="1110"/>
        <w:gridCol w:w="279"/>
      </w:tblGrid>
      <w:tr>
        <w:trPr/>
        <w:tc>
          <w:tcPr>
            <w:tcW w:w="4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3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Federal Taxes</w:t>
            </w:r>
          </w:p>
        </w:tc>
        <w:tc>
          <w:tcPr>
            <w:tcW w:w="380"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State Taxes</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Foreign Taxes:</w:t>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9,182 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9,182 </w:t>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recognize interest and penalties related to unrecognized tax benefits, if applicable, as a component of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30835"/>
                <wp:effectExtent l="0" t="0" r="0" b="0"/>
                <wp:wrapNone/>
                <wp:docPr id="128" name="Frame114"/>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F-28</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F-28</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before="0" w:after="2"/>
        <w:jc w:val="left"/>
        <w:rPr/>
      </w:pPr>
      <w:r>
        <w:rPr/>
      </w:r>
    </w:p>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Legal</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legal proceedings or claims which arise in the ordinary course of its business. Although occasional adverse decisions or settlements may occur, the Company believes that the final disposition of such matters should not have a material adverse effect on its financial position, results of operations or liquidity.</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License Agreement</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Effective January 26, 2022, the Company entered into an Exclusive License Agreement (the License Agreement) with an unrelated third party. Under the License Agreement, the Company is granted an exclusive license for certain patents and a non-exclusive license for certain know-how. The License Agreement continues until the later of the expiration of the last to expire licensed patent or ten years after the first commercial sale of the first licensed therapeutic or non-therapeutic product. The Company may terminate the License Agreement at any time by providing at least 30 days written notice to the third party. The License Agreement is also terminated upon breach of a material obligation under the agreement or bankruptcy. Upon any termination of the License Agreement, neither party is relieved of obligations incurred prior to the termination.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and 2024, the Company did not capitalize any payments made under this license. </w:t>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Operating Leases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and lab space in Branford, CT, Groton, CT, and Montreal, Quebec. The Company’s leases expire at various dates through May 31, 2027. Most leases are for a fixed term and for a fixed amount.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During 2019, the Company entered into a new lease agreement for office and laboratory space in Montreal, Quebec. The Montreal lease required monthly payments of $6,906, CAD which increases approximately 4% in each of the following years. The Montreal lease was increased to $8,130 CAD in 2021 upon leasing additional space. The Montreal lease was initially for a one-year term, renewable annually. The Montreal lease also requires the Company to pay additional common area maintenance.</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During 2020, the Company entered into a new lease agreement for the Company’s primary office and laboratory space in Branford, CT. The Branford lease requires monthly payments of $13,033 for the first year of the lease, which increases approximately 2% in each of the following years. The Branford lease also requires the Company to pay a pro-rata share of common area maintenance.</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During May 2021, the Company entered into a new lease for office and laboratory space in Groton, CT. The Groton lease required monthly payments of $4,234, which was increased to $6,824 in September 2021 upon leasing additional space. In August 2024, the Company reassessed its needs and released certain lab space resulting in a decrease to the monthly payment to $5,216. The Groton lease is initially for a one-year term, renewable annually for up to three additional years.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Future minimum payments under non-cancelable operating leases with initial or remaining terms in excess of one year during each of the next five years follow:</w:t>
      </w:r>
    </w:p>
    <w:tbl>
      <w:tblPr>
        <w:tblW w:w="4728" w:type="dxa"/>
        <w:jc w:val="center"/>
        <w:tblInd w:w="0" w:type="dxa"/>
        <w:tblLayout w:type="fixed"/>
        <w:tblCellMar>
          <w:top w:w="28" w:type="dxa"/>
          <w:left w:w="28" w:type="dxa"/>
          <w:bottom w:w="28" w:type="dxa"/>
          <w:right w:w="28" w:type="dxa"/>
        </w:tblCellMar>
      </w:tblPr>
      <w:tblGrid>
        <w:gridCol w:w="1269"/>
        <w:gridCol w:w="1115"/>
        <w:gridCol w:w="1126"/>
        <w:gridCol w:w="211"/>
        <w:gridCol w:w="826"/>
        <w:gridCol w:w="181"/>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ind w:left="0" w:right="0" w:firstLine="50"/>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23" w:before="0" w:after="2"/>
              <w:ind w:left="0" w:right="0" w:firstLine="5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270,337 </w:t>
            </w:r>
          </w:p>
        </w:tc>
        <w:tc>
          <w:tcPr>
            <w:tcW w:w="181" w:type="dxa"/>
            <w:tcBorders/>
            <w:shd w:fill="CCEEFF" w:val="clear"/>
            <w:tcMar>
              <w:top w:w="0" w:type="dxa"/>
              <w:left w:w="0" w:type="dxa"/>
              <w:bottom w:w="0" w:type="dxa"/>
              <w:right w:w="0" w:type="dxa"/>
            </w:tcMar>
            <w:vAlign w:val="center"/>
          </w:tcPr>
          <w:p>
            <w:pPr>
              <w:pStyle w:val="TableContents"/>
              <w:bidi w:val="0"/>
              <w:spacing w:before="0" w:after="283"/>
              <w:ind w:left="0" w:right="0" w:firstLine="5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23" w:before="0" w:after="2"/>
              <w:ind w:left="0" w:right="0" w:firstLine="5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138,198 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firstLine="50"/>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23" w:before="0" w:after="2"/>
              <w:ind w:left="0" w:right="0" w:firstLine="5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20,143 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Total future undiscounted lease payments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428,678 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(16,712)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Present value of minimum lease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411,966 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Rent expense for all operating leases was $323,182 and $338,865 for the for the years ended December 31, 2025 and 2024, respectively. The weighted average lease term for all operating leases is 1.6 years. The weighted average discount rate for all operating leases is 4.84%.</w:t>
      </w:r>
    </w:p>
    <w:p>
      <w:pPr>
        <w:pStyle w:val="TextBody"/>
        <w:bidi w:val="0"/>
        <w:spacing w:before="0" w:after="2"/>
        <w:jc w:val="both"/>
        <w:rPr/>
      </w:pPr>
      <w:r>
        <w:rPr/>
      </w:r>
    </w:p>
    <w:p>
      <w:pPr>
        <w:pStyle w:val="TextBody"/>
        <w:bidi w:val="0"/>
        <w:spacing w:before="0" w:after="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30835"/>
                <wp:effectExtent l="0" t="0" r="0" b="0"/>
                <wp:wrapNone/>
                <wp:docPr id="129" name="Frame115"/>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F-29</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F-29</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before="0" w:after="2"/>
        <w:jc w:val="both"/>
        <w:rPr/>
      </w:pPr>
      <w:r>
        <w:rPr/>
      </w: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Finance Leases</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During 2023, the Company entered into an agreement with Hewlett Packard to lease equipment. The lease requires monthly payments of $1,478, including tax. The lease is for a 3 year term with option of purchase or extension at term end. The remaining lease term is 0.6 years and the discount rate is 9.60%. </w:t>
      </w:r>
    </w:p>
    <w:p>
      <w:pPr>
        <w:pStyle w:val="TextBody"/>
        <w:bidi w:val="0"/>
        <w:spacing w:before="0" w:after="2"/>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schedule showing the future minimum lease payments under finance leases by years and the present value of the minimum payments as of December 31, 2025. </w:t>
      </w:r>
    </w:p>
    <w:p>
      <w:pPr>
        <w:pStyle w:val="TextBody"/>
        <w:bidi w:val="0"/>
        <w:spacing w:before="0" w:after="2"/>
        <w:jc w:val="both"/>
        <w:rPr/>
      </w:pPr>
      <w:r>
        <w:rPr/>
      </w:r>
    </w:p>
    <w:tbl>
      <w:tblPr>
        <w:tblW w:w="4623" w:type="dxa"/>
        <w:jc w:val="center"/>
        <w:tblInd w:w="0" w:type="dxa"/>
        <w:tblLayout w:type="fixed"/>
        <w:tblCellMar>
          <w:top w:w="28" w:type="dxa"/>
          <w:left w:w="28" w:type="dxa"/>
          <w:bottom w:w="28" w:type="dxa"/>
          <w:right w:w="28" w:type="dxa"/>
        </w:tblCellMar>
      </w:tblPr>
      <w:tblGrid>
        <w:gridCol w:w="1269"/>
        <w:gridCol w:w="1115"/>
        <w:gridCol w:w="1126"/>
        <w:gridCol w:w="211"/>
        <w:gridCol w:w="721"/>
        <w:gridCol w:w="181"/>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ind w:left="0" w:right="0" w:firstLine="50"/>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23" w:before="0" w:after="2"/>
              <w:ind w:left="0" w:right="0" w:firstLine="5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firstLine="50"/>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23" w:before="0" w:after="2"/>
              <w:ind w:left="0" w:right="0" w:firstLine="5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Total future undiscounted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Present value of minimum lease payments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10,111 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Lease expense for the finance lease was $15,480 and $15,480 for the for the years ended December 31, 2025 and 2024, respectively. Interest expense for the finance lease was $1,676 and $3,129 for the for the years ended December 31, 2025 and 2024, respectively. </w:t>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13. Retirement Plan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January 1, 2019, the Company sponsors a 401(k) plan that covers substantially all employees. In order to be eligible to participate, an employee must complete two consecutive months of service and work a minimum of two hundred fifty hours or work 1,000 hours in their first year of service. Employees may make pre-tax deferrals upon meeting the Plan eligibility requirements. Effective January 1, 2020, the Plan was transitioned to a safe harbor plan in which highly compensated employees are not eligible for matching contributions and non-highly compensated employees earn 100% match on first 3% contributed and 50% on the next 2% contributed. Total employer matching contributions were $15,770 and $22,264 for the years ended December 31,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14. Concentration of Credit Risk</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credit risk consist principally of cash.</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cash balance identified in the balance sheet is held in an account with a financial institution and insured by the Federal Deposit Insurance Corporation (FDIC) up to $250,000. At times, cash maintained on deposit may be in excess of FDIC limits.</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15. Related Parties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related party revenue for the years ended December 31, 2025 and 2024, respectively. There were no accounts receivable due from the related party at December 31, 2025 and December 31, 2024, respectively. </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In July 2024, Bayer was no longer considered a related party as their holdings in the Company no longer exceeded 5% of the total outstanding common stock, and the amounts disclosed above are accordingly presented while they were considered a related party.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both"/>
        <w:rPr>
          <w:rFonts w:ascii="Times New Roman;serif" w:hAnsi="Times New Roman;serif"/>
          <w:b/>
          <w:color w:val="000000"/>
          <w:sz w:val="20"/>
        </w:rPr>
      </w:pPr>
      <w:r>
        <w:rPr>
          <w:rFonts w:ascii="Times New Roman;serif" w:hAnsi="Times New Roman;serif"/>
          <w:b/>
          <w:color w:val="000000"/>
          <w:sz w:val="20"/>
        </w:rPr>
        <w:t>16. Segment Information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operates and manages its business as a single reportable segment, which is to discover and develop novel therapeutics to create a new paradigm for treating skin diseases. The Chief Executive Officer, who is the Chief Operating Decision Maker ("CODM"), manages and evaluates the Company's performance on a total Company basis of net loss and assessing how to allocate resources based on the Company cash position as reported in the Company's balance sheet and statement of operations. The Company's significant expenses are consistent with the expense categories presented in the statement of operations.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As of December 31, 2025, all of the Company's fixed assets were maintained in the United States and Canada on an original costs basis of $893,238 and $288,397, respectively.</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30835"/>
                <wp:effectExtent l="0" t="0" r="0" b="0"/>
                <wp:wrapNone/>
                <wp:docPr id="130" name="Frame116"/>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F-30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F-30</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17. Subsequent Events</w:t>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has evaluated events subsequent to the balance sheet date through February 27, 2026, the date these financial statements are issued.</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As noted in Note 6, Alumni Capital has exercised all of its outstanding prefunded warrants.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On January 1, 2026, the shares of Common Stock that may be issued under the 2023 Plan increased by 537,034 shares in accordance with the evergreen provision.</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Subsequent to December 31, 2025, the Company issued an additional 1,300,000 common shares under the terms of the ELOC for an estimated gross proceeds of $168,400, and 100,000 warrants on our common shares.</w:t>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2"/>
        <w:jc w:val="both"/>
        <w:rPr/>
      </w:pPr>
      <w:r>
        <w:rPr/>
      </w:r>
    </w:p>
    <w:p>
      <w:pPr>
        <w:pStyle w:val="TextBody"/>
        <w:bidi w:val="0"/>
        <w:spacing w:before="0" w:after="2"/>
        <w:jc w:val="left"/>
        <w:rPr/>
      </w:pPr>
      <w:r>
        <w:rPr/>
      </w:r>
    </w:p>
    <w:p>
      <w:pPr>
        <w:pStyle w:val="TextBody"/>
        <w:bidi w:val="0"/>
        <w:spacing w:before="160" w:after="160"/>
        <w:jc w:val="both"/>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30835"/>
                <wp:effectExtent l="0" t="0" r="0" b="0"/>
                <wp:wrapNone/>
                <wp:docPr id="131" name="Frame117"/>
                <a:graphic xmlns:a="http://schemas.openxmlformats.org/drawingml/2006/main">
                  <a:graphicData uri="http://schemas.microsoft.com/office/word/2010/wordprocessingShape">
                    <wps:wsp>
                      <wps:cNvSpPr txBox="1"/>
                      <wps:spPr>
                        <a:xfrm>
                          <a:off x="0" y="0"/>
                          <a:ext cx="6480175" cy="33083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F-31</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F-31</w:t>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AZITRA, INC.</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4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(a)Evaluation of Disclosure Controls and Procedures.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Rules 13a-15(e) or 15d-15(e) of the Exchange Act) as of December 31, 2025. In the course of that evaluation, we identified a material weakness as it relates to a lack of adequate segregation of accounting functions. We intend to increase staffing within our accounting infrastructure sufficient to facilitate proper segregation of accounting functions and to enable appropriate review of our internally prepared financial statements. Based upon the foregoing, our chief executive officer and chief financial officer concluded that our disclosure controls and procedures were not effective as of December 31, 2025.</w:t>
      </w:r>
    </w:p>
    <w:p>
      <w:pPr>
        <w:pStyle w:val="TextBody"/>
        <w:bidi w:val="0"/>
        <w:spacing w:lineRule="auto" w:line="288" w:before="0" w:after="24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(b)Changes in internal control over financial reporting.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as defined in Rule 13a-15(f) under the Exchange Act that occurred during the year ended December 31, 2025 that have materially affected, or are reasonably likely to materially affect, our internal control over financial reporting.</w:t>
      </w:r>
    </w:p>
    <w:p>
      <w:pPr>
        <w:pStyle w:val="TextBody"/>
        <w:bidi w:val="0"/>
        <w:spacing w:lineRule="auto" w:line="288" w:before="0" w:after="240"/>
        <w:ind w:left="0" w:right="0" w:hanging="270"/>
        <w:jc w:val="left"/>
        <w:rPr>
          <w:rFonts w:ascii="Times New Roman;serif" w:hAnsi="Times New Roman;serif"/>
          <w:b w:val="false"/>
          <w:i/>
          <w:color w:val="000000"/>
          <w:sz w:val="20"/>
        </w:rPr>
      </w:pPr>
      <w:r>
        <w:rPr>
          <w:rFonts w:ascii="Times New Roman;serif" w:hAnsi="Times New Roman;serif"/>
          <w:b w:val="false"/>
          <w:i/>
          <w:color w:val="000000"/>
          <w:sz w:val="20"/>
        </w:rPr>
        <w:t>(c)Management’s report on internal controls over financial reporting.</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controls over financial reporting, as defined under Rule 13a-15(f) under the Exchange Act. Our management has assessed the effectiveness of our internal controls over financial reporting as of December 31, 2025 based on the framework established in Internal Control - Integrated Framework issued by the Committee of Sponsoring Organizations of the Treadway Commission (2013 Framework) (“COSO”). Our internal control system was designed to provide reasonable assurance to our management and board of directors regarding the preparation and fair presentation of published financial statements. Our management assessed the effectiveness of our internal control over financial reporting as of December 31, 2025, and based on that evaluation, management concluded that our internal control over financial reporting were not effective as of December 31, 2025 due to a material weakness relating to a lack of segregation of accounting functions.</w:t>
      </w:r>
    </w:p>
    <w:p>
      <w:pPr>
        <w:pStyle w:val="TextBody"/>
        <w:bidi w:val="0"/>
        <w:spacing w:before="0" w:after="2"/>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Company’s fiscal quarter ended December 31, 2025, no director or officer, as defined in Rule 1a-1(f), adopted or terminated a “Rule 10b5-1 trading arrangement” or a “non-Rule 10b5-1 trading arrangement,” each as defined in Item 408 of Regulation S-K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2"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40"/>
        <w:jc w:val="center"/>
        <w:rPr>
          <w:rFonts w:ascii="Times New Roman;serif" w:hAnsi="Times New Roman;serif"/>
          <w:b w:val="false"/>
          <w:color w:val="000000"/>
          <w:sz w:val="20"/>
        </w:rPr>
      </w:pPr>
      <w:r>
        <w:rPr>
          <w:rFonts w:ascii="Times New Roman;serif" w:hAnsi="Times New Roman;serif"/>
          <w:b w:val="false"/>
          <w:color w:val="000000"/>
          <w:sz w:val="20"/>
        </w:rPr>
        <w:t>PART III</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6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Executive Officers and Directors</w:t>
      </w:r>
    </w:p>
    <w:p>
      <w:pPr>
        <w:pStyle w:val="TextBody"/>
        <w:bidi w:val="0"/>
        <w:spacing w:before="0" w:after="0"/>
        <w:jc w:val="left"/>
        <w:rPr/>
      </w:pPr>
      <w:r>
        <w:rPr/>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names, ages and positions of our current executive officers and directors. All directors hold office until the next annual meeting of stockholders or until their successors have been elected and qualified. All current directors were elected at our annual meeting of stockholders on June 23, 2025.</w:t>
      </w:r>
    </w:p>
    <w:tbl>
      <w:tblPr>
        <w:tblW w:w="6668" w:type="dxa"/>
        <w:jc w:val="left"/>
        <w:tblInd w:w="0" w:type="dxa"/>
        <w:tblLayout w:type="fixed"/>
        <w:tblCellMar>
          <w:top w:w="28" w:type="dxa"/>
          <w:left w:w="28" w:type="dxa"/>
          <w:bottom w:w="28" w:type="dxa"/>
          <w:right w:w="28" w:type="dxa"/>
        </w:tblCellMar>
      </w:tblPr>
      <w:tblGrid>
        <w:gridCol w:w="584"/>
        <w:gridCol w:w="512"/>
        <w:gridCol w:w="523"/>
        <w:gridCol w:w="109"/>
        <w:gridCol w:w="109"/>
        <w:gridCol w:w="109"/>
        <w:gridCol w:w="145"/>
        <w:gridCol w:w="145"/>
        <w:gridCol w:w="146"/>
        <w:gridCol w:w="109"/>
        <w:gridCol w:w="109"/>
        <w:gridCol w:w="109"/>
        <w:gridCol w:w="1156"/>
        <w:gridCol w:w="1156"/>
        <w:gridCol w:w="1647"/>
      </w:tblGrid>
      <w:tr>
        <w:trPr/>
        <w:tc>
          <w:tcPr>
            <w:tcW w:w="58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Position</w:t>
            </w:r>
          </w:p>
        </w:tc>
      </w:tr>
      <w:tr>
        <w:trPr/>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Francisco D. Salva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16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Norman Staskey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Travis Whitfill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Operating Officer and Director</w:t>
            </w:r>
          </w:p>
        </w:tc>
      </w:tr>
      <w:tr>
        <w:trPr/>
        <w:tc>
          <w:tcPr>
            <w:tcW w:w="16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Barbara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Independent Director</w:t>
            </w:r>
          </w:p>
        </w:tc>
      </w:tr>
      <w:tr>
        <w:trPr/>
        <w:tc>
          <w:tcPr>
            <w:tcW w:w="16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John Schroer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Independent Director</w:t>
            </w:r>
          </w:p>
        </w:tc>
      </w:tr>
    </w:tbl>
    <w:p>
      <w:pPr>
        <w:pStyle w:val="TextBody"/>
        <w:bidi w:val="0"/>
        <w:spacing w:before="0" w:after="160"/>
        <w:jc w:val="left"/>
        <w:rPr/>
      </w:pPr>
      <w:r>
        <w:rPr/>
      </w:r>
    </w:p>
    <w:p>
      <w:pPr>
        <w:pStyle w:val="TextBody"/>
        <w:bidi w:val="0"/>
        <w:spacing w:lineRule="auto" w:line="276" w:before="0" w:after="160"/>
        <w:jc w:val="left"/>
        <w:rPr>
          <w:rFonts w:ascii="Times New Roman;serif" w:hAnsi="Times New Roman;serif"/>
          <w:b/>
          <w:i/>
          <w:color w:val="000000"/>
          <w:sz w:val="20"/>
        </w:rPr>
      </w:pPr>
      <w:r>
        <w:rPr>
          <w:rFonts w:ascii="Times New Roman;serif" w:hAnsi="Times New Roman;serif"/>
          <w:b/>
          <w:i/>
          <w:color w:val="000000"/>
          <w:sz w:val="20"/>
        </w:rPr>
        <w:t>Information about our Executive Officers and Directors</w:t>
      </w:r>
    </w:p>
    <w:p>
      <w:pPr>
        <w:pStyle w:val="TextBody"/>
        <w:bidi w:val="0"/>
        <w:spacing w:lineRule="auto" w:line="268" w:before="0" w:after="160"/>
        <w:ind w:left="0" w:right="0" w:firstLine="720"/>
        <w:jc w:val="both"/>
        <w:rPr/>
      </w:pPr>
      <w:r>
        <w:rPr>
          <w:rFonts w:ascii="Times New Roman;serif" w:hAnsi="Times New Roman;serif"/>
          <w:b/>
          <w:i/>
          <w:color w:val="000000"/>
          <w:sz w:val="20"/>
        </w:rPr>
        <w:t>Francisco D. Salva</w:t>
      </w:r>
      <w:r>
        <w:rPr>
          <w:color w:val="000000"/>
        </w:rPr>
        <w:t xml:space="preserve"> </w:t>
      </w:r>
      <w:r>
        <w:rPr>
          <w:rFonts w:ascii="Times New Roman;serif" w:hAnsi="Times New Roman;serif"/>
          <w:b w:val="false"/>
          <w:color w:val="000000"/>
          <w:sz w:val="20"/>
        </w:rPr>
        <w:t>has served as our president and chief executive officer and a member of our Board since April 2021. Mr. Salva has over 15 years of experience in senior leadership roles in the biotechnology and pharmaceutical industries. Mr. Salva served as president and chief executive officer of Complexa, Inc., an inflammation and fibrosis focused biopharmaceutical company, from May 2018 to August 2020. From February 2011 to November 2016, Mr. Salva served as a co-founder and vice president of operations of Acerta Pharma B.V., Inc, a cancer and autoimmune focused biopharmaceutical company. Mr. Salva serves as a director of Vincerx Pharma, Inc. (Nasdaq: VINC). Prior to his operating roles, Mr. Salva served in various senior positions in the venture capital and investment banking industries focusing on healthcare, biotechnology and pharmaceuticals companies. Mr. Salva received a B.A. from Brown University and an MSc in economics and philosophy from the London School of Economics. We believe that Mr. Salva’s experience as a senior executive, venture capitalist and investment banker in the biotech and pharmaceutical industries qualifies him to serve on our Board.</w:t>
      </w:r>
    </w:p>
    <w:p>
      <w:pPr>
        <w:pStyle w:val="TextBody"/>
        <w:bidi w:val="0"/>
        <w:spacing w:lineRule="auto" w:line="268" w:before="0" w:after="160"/>
        <w:ind w:left="0" w:right="0" w:firstLine="720"/>
        <w:jc w:val="both"/>
        <w:rPr/>
      </w:pPr>
      <w:r>
        <w:rPr>
          <w:rFonts w:ascii="Times New Roman;serif" w:hAnsi="Times New Roman;serif"/>
          <w:b/>
          <w:i/>
          <w:color w:val="000000"/>
          <w:sz w:val="20"/>
        </w:rPr>
        <w:t>Norman Staskey</w:t>
      </w:r>
      <w:r>
        <w:rPr>
          <w:color w:val="000000"/>
        </w:rPr>
        <w:t xml:space="preserve"> </w:t>
      </w:r>
      <w:r>
        <w:rPr>
          <w:rFonts w:ascii="Times New Roman;serif" w:hAnsi="Times New Roman;serif"/>
          <w:b w:val="false"/>
          <w:color w:val="000000"/>
          <w:sz w:val="20"/>
        </w:rPr>
        <w:t>has served as our chief financial officer since October 2022. Since May 15, 2021, Mr. Staskey has also served as a senior director of Danforth Advisors, a national consulting firm providing financial, accounting and reporting services to the life science industry. From September 2014 to May 2021, Mr. Staskey was employed by EY (formally Ernst &amp; Young), most recently as a managing director in EY’s Financial Accounting and Advisory services practice.</w:t>
      </w:r>
    </w:p>
    <w:p>
      <w:pPr>
        <w:pStyle w:val="TextBody"/>
        <w:bidi w:val="0"/>
        <w:spacing w:lineRule="auto" w:line="268" w:before="0" w:after="160"/>
        <w:ind w:left="0" w:right="0" w:firstLine="720"/>
        <w:jc w:val="both"/>
        <w:rPr/>
      </w:pPr>
      <w:r>
        <w:rPr>
          <w:rFonts w:ascii="Times New Roman;serif" w:hAnsi="Times New Roman;serif"/>
          <w:b/>
          <w:i/>
          <w:color w:val="000000"/>
          <w:sz w:val="20"/>
        </w:rPr>
        <w:t>Travis Whitfill</w:t>
      </w:r>
      <w:r>
        <w:rPr>
          <w:color w:val="000000"/>
        </w:rPr>
        <w:t xml:space="preserve"> </w:t>
      </w:r>
      <w:r>
        <w:rPr>
          <w:rFonts w:ascii="Times New Roman;serif" w:hAnsi="Times New Roman;serif"/>
          <w:b w:val="false"/>
          <w:color w:val="000000"/>
          <w:sz w:val="20"/>
        </w:rPr>
        <w:t>is a co-founder of Azitra and has served on our Board since inception. Dr. Whitfill has served in various roles at Azitra, including chief scientific officer from January 2014 to September 2019 and director of advanced technology since September 2019, and as chief operating officer since June 2023. Dr. Whitfill served as a partner at Bios Equity Partners, LP, a biotechnology-focused venture capital firm, from October 2015 to June 2023 and a senior analyst at Bios Research from September 2014 to June 2023. He has also served as an associate research scientist and assistant professor adjunct at Yale University from July 2016 to March 2022 and since March 2022, respectively, with appointments in the Departments of Pediatrics and Emergency Medicine. Dr. Whitfill has served on the board of directors of IN8Bio, Inc. (Nasdaq: INAB) since March 2018, 410 Medical from September 2017 to July 2019 and SIRPant Immunotherapeutics from September 2021 to June 2023. Dr. Whitfill has led numerous grant-funded projects, holds several patents and has co-authored over 60 publications. Dr. Whitfill received a B.S. from Dallas Baptist University, an MPH from Yale University and an MPhil from University College London. We believe that Mr. Whitfill’s strong background in entrepreneurship and in the biotech and healthcare industries qualifies him to serve on our Board.</w:t>
      </w:r>
    </w:p>
    <w:p>
      <w:pPr>
        <w:pStyle w:val="TextBody"/>
        <w:bidi w:val="0"/>
        <w:spacing w:lineRule="auto" w:line="268" w:before="0" w:after="160"/>
        <w:ind w:left="0" w:right="0" w:firstLine="720"/>
        <w:jc w:val="both"/>
        <w:rPr/>
      </w:pPr>
      <w:r>
        <w:rPr>
          <w:rFonts w:ascii="Times New Roman;serif" w:hAnsi="Times New Roman;serif"/>
          <w:b/>
          <w:i/>
          <w:color w:val="000000"/>
          <w:sz w:val="20"/>
        </w:rPr>
        <w:t>Barbara Ryan</w:t>
      </w:r>
      <w:r>
        <w:rPr>
          <w:color w:val="000000"/>
        </w:rPr>
        <w:t xml:space="preserve"> </w:t>
      </w:r>
      <w:r>
        <w:rPr>
          <w:rFonts w:ascii="Times New Roman;serif" w:hAnsi="Times New Roman;serif"/>
          <w:b w:val="false"/>
          <w:color w:val="000000"/>
          <w:sz w:val="20"/>
        </w:rPr>
        <w:t xml:space="preserve">has served as a member of our Board since June 2023. Ms. Ryan founded Barbara Ryan Advisors, a capital markets and communications firm, in 2012 following a more than 30-year career on Wall Street as a sell-side research analyst covering the U.S. pharmaceutical industry. Ms. Ryan has deep experience in equity and debt financings, M&amp;A, valuation, SEC reporting, financial analysis and corporate strategy across a broad range of life sciences companies. Ms. Ryan worked on several of the industry’s largest M&amp;A transactions, including Shire’s defense versus a hostile takeover attempt by Abbvie, Shire’s takeover of Baxalta, Allergan’s defense against Valeant and Perrigo’s defense versus Mylan. Ms. Ryan served as an executive team member and on the disclosure committee for Radius Health from January 2014 to December 2017. Previously, Ms. Ryan was a managing director at Deutsche Bank/Alex Brown and head of the company’s pharmaceutical research team for 19 years and began her research career covering the pharmaceutical industry at Bear Stearns in 1982. Ms. Ryan currently serves as a director on the board of MiNK Therapeutics, Inc. (Nasdaq: INKT), where she chairs the audit committee, INVO Bioscience, Inc, (Nasdaq: INVO), Invidior, PLC (LON:INDV) and The Red Door Community (formerly Gilda’s Club NYC), a non-profit organization. Ms. Ryan is the founder of Fabulous Pharma Females, a non-profit whose mission is to advance women in the biopharma industry, is a member of the editorial advisory board of Pharmaceutical Executive Magazine, a faculty member of the GLG Institute and a member of the Prix Galien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3"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executive advisory board. We believe that Ms. Ryan is qualified to serve as a member of our Board because of her experience and knowledge of corporate finance, mergers and acquisitions, corporate governance, as well as other operational, financial and accounting matters gained as a past and present executive officer and/or director of other public and private companies.</w:t>
      </w:r>
    </w:p>
    <w:p>
      <w:pPr>
        <w:pStyle w:val="TextBody"/>
        <w:bidi w:val="0"/>
        <w:spacing w:lineRule="auto" w:line="268" w:before="0" w:after="160"/>
        <w:ind w:left="0" w:right="0" w:firstLine="720"/>
        <w:jc w:val="both"/>
        <w:rPr/>
      </w:pPr>
      <w:r>
        <w:rPr>
          <w:rFonts w:ascii="Times New Roman;serif" w:hAnsi="Times New Roman;serif"/>
          <w:b/>
          <w:i/>
          <w:color w:val="000000"/>
          <w:sz w:val="20"/>
        </w:rPr>
        <w:t>John Schroer</w:t>
      </w:r>
      <w:r>
        <w:rPr>
          <w:color w:val="000000"/>
        </w:rPr>
        <w:t xml:space="preserve"> </w:t>
      </w:r>
      <w:r>
        <w:rPr>
          <w:rFonts w:ascii="Times New Roman;serif" w:hAnsi="Times New Roman;serif"/>
          <w:b w:val="false"/>
          <w:color w:val="000000"/>
          <w:sz w:val="20"/>
        </w:rPr>
        <w:t>has served as a member of our Board since June 2023. Mr. Schroer has served as chief financial officer of Alumis, Inc., a publicly traded biotechnology company developing precision immunology therapies, since March 2022. Mr. Schroer was chief financial officer of Arsenal Biosciences, Inc., a privately held biotechnology company developing programmable cell therapy for solid tumors, from February 2021 to February 2022. Mr. Schroer was chief financial officer of Translate Bio, Inc., a biotechnology company developing mRNA therapeutics and vaccines acquired by Sanofi in September 2021 for $3.2 billion, from May 2018 to December 2020. Previously, Mr. Schroer was Sector Head – Global Health Care for Allianz Global Investors, an international asset management firm, from January 2014 to May 2018. Mr. Schroer received his B.S. and M.B.A from the University of Wisconsin – Madison. We believe that Mr. Schroer’s strong background holding leadership positions in the biotechnology industry and almost 30 years of investing in the life sciences sector qualifies him to serve on our Board.</w:t>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Family Relationships</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no family relationships among any of our executive officers or directors.</w:t>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68" w:before="0" w:after="160"/>
        <w:ind w:left="0" w:right="0" w:firstLine="720"/>
        <w:jc w:val="both"/>
        <w:rPr>
          <w:rFonts w:ascii="Times New Roman;serif" w:hAnsi="Times New Roman;serif"/>
          <w:b/>
          <w:color w:val="000000"/>
          <w:sz w:val="20"/>
        </w:rPr>
      </w:pPr>
      <w:r>
        <w:rPr>
          <w:rFonts w:ascii="Times New Roman;serif" w:hAnsi="Times New Roman;serif"/>
          <w:b/>
          <w:color w:val="000000"/>
          <w:sz w:val="20"/>
        </w:rPr>
        <w:t>Audit Committee</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audit committee consists of John Schroer, and Barbara Ryan, with Mr. Schroer serving as chairperson. Our Board has determined that each member meets the independence requirements of the Sarbanes-Oxley Act, Rule 10A-3 under the Exchange Act and the applicable listing standards of the NYSE American. In addition, our Board has determined that Mr. Schroer qualifies as an audit committee financial expert within the meaning of SEC regulations and meets the financial sophistication requirements of the NYSE American listing rules. Each member of our audit committee can read and understand fundamental financial statements in accordance with the SEC and NYSE American audit committee requirements. In arriving at this determination, the Board has examined each audit committee member’s scope of experience and the nature of their prior and/or current employment. Both our independent registered public accounting firm and management periodically meet with our Audit Committee.</w:t>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Process for Stockholders to Send Communications to our Board of Directors</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we have always maintained open channels of communication with our stockholders, we do not have a formal policy that provides a process for stockholders to send communications to our Board. However, if a stockholder would like to send a communication to our Board, please address the letter to the attention of our corporate secretary, Travis Whitfill, at 21 Business Park Drive, Suite 6, Branford, CT, 06405 and it will be distributed to each director.</w:t>
      </w:r>
    </w:p>
    <w:p>
      <w:pPr>
        <w:pStyle w:val="TextBody"/>
        <w:bidi w:val="0"/>
        <w:spacing w:lineRule="auto" w:line="268" w:before="0" w:after="160"/>
        <w:ind w:left="0" w:right="0" w:firstLine="720"/>
        <w:jc w:val="both"/>
        <w:rPr>
          <w:rFonts w:ascii="Times New Roman;serif" w:hAnsi="Times New Roman;serif"/>
          <w:b/>
          <w:color w:val="000000"/>
          <w:sz w:val="20"/>
        </w:rPr>
      </w:pPr>
      <w:r>
        <w:rPr>
          <w:rFonts w:ascii="Times New Roman;serif" w:hAnsi="Times New Roman;serif"/>
          <w:b/>
          <w:color w:val="000000"/>
          <w:sz w:val="20"/>
        </w:rPr>
        <w:t>Section 16(A) Beneficial Ownership Reporting Compliance</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Rules adopted by the SEC under Section 16(a) of the Exchange Act require our officers and directors, and persons who own more than 10% of the issued and outstanding shares of our equity securities, to file reports of their ownership, and changes in ownership, of such securities with the SEC on Forms 3, 4 or 5, as appropriate. Such persons are required by the regulations of the SEC to furnish us with copies of all forms they file pursuant to Section 16(a).</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solely upon a review of Forms 3, 4 and 5 and amendments thereto furnished to us during our most recent fiscal year, and any written representations provided to us, we believe that all of the officers, directors, and owners of more than 10% of the outstanding shares of our common stock complied with Section 16(a) of the Exchange Act for the year ended December 31, 2025.</w:t>
      </w:r>
    </w:p>
    <w:p>
      <w:pPr>
        <w:pStyle w:val="TextBody"/>
        <w:bidi w:val="0"/>
        <w:spacing w:lineRule="auto" w:line="268" w:before="0" w:after="160"/>
        <w:ind w:left="0" w:right="0" w:firstLine="720"/>
        <w:jc w:val="both"/>
        <w:rPr>
          <w:rFonts w:ascii="Times New Roman;serif" w:hAnsi="Times New Roman;serif"/>
          <w:b/>
          <w:color w:val="000000"/>
          <w:sz w:val="20"/>
        </w:rPr>
      </w:pPr>
      <w:r>
        <w:rPr>
          <w:rFonts w:ascii="Times New Roman;serif" w:hAnsi="Times New Roman;serif"/>
          <w:b/>
          <w:color w:val="000000"/>
          <w:sz w:val="20"/>
        </w:rPr>
        <w:t>Code of Ethics</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adopted a Code of Ethics applicable to all of our employees, executive officers and directors. The Code of Ethics is available on our website at www.azitrainc.com. The audit committee of our Board is responsible for overseeing the Code of Ethics and must approve any waivers of the Code of Ethics for employees, executive officers and directors. In addition, we have posted on our website all disclosures that are required by law or the listing standards of the applicable stock exchange concerning any amendments to, or waivers from, any provision of the Code of Ethics.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an Insider Trading Policy governing the purchase, sale, and other dispositions of our securities by our directors, officers, employees and consultants, including those persons serving in similar positions with our subsidiaries. Our Insider Trading Policy is reasonably designed to promote compliance with insider trading laws, rules and regulations, and any listing standards applicable to us and our directors, officers, employees and consultants. A copy of our Insider Trading Policy is filed as an exhibit to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4"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Summary Compensation Table</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compensation awarded to or earned by our chief executive officer (and principal executive Officer) and our two other highest paid executive officers for the years ended December 31, 2025 and 2024. In reviewing the table, please note that Travis Whitfill was appointed to serve as our chief operating officer in June 2023.</w:t>
      </w:r>
    </w:p>
    <w:tbl>
      <w:tblPr>
        <w:tblW w:w="11459" w:type="dxa"/>
        <w:jc w:val="left"/>
        <w:tblInd w:w="0" w:type="dxa"/>
        <w:tblLayout w:type="fixed"/>
        <w:tblCellMar>
          <w:top w:w="28" w:type="dxa"/>
          <w:left w:w="28" w:type="dxa"/>
          <w:bottom w:w="28" w:type="dxa"/>
          <w:right w:w="28" w:type="dxa"/>
        </w:tblCellMar>
      </w:tblPr>
      <w:tblGrid>
        <w:gridCol w:w="326"/>
        <w:gridCol w:w="287"/>
        <w:gridCol w:w="288"/>
        <w:gridCol w:w="174"/>
        <w:gridCol w:w="174"/>
        <w:gridCol w:w="178"/>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75"/>
        <w:gridCol w:w="721"/>
        <w:gridCol w:w="195"/>
        <w:gridCol w:w="375"/>
        <w:gridCol w:w="721"/>
        <w:gridCol w:w="195"/>
        <w:gridCol w:w="237"/>
        <w:gridCol w:w="930"/>
        <w:gridCol w:w="124"/>
        <w:gridCol w:w="109"/>
        <w:gridCol w:w="109"/>
        <w:gridCol w:w="109"/>
        <w:gridCol w:w="211"/>
        <w:gridCol w:w="826"/>
        <w:gridCol w:w="154"/>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val="false"/>
                <w:color w:val="000000"/>
                <w:sz w:val="20"/>
              </w:rPr>
              <w:t>Bonus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Option</w:t>
            </w:r>
          </w:p>
          <w:p>
            <w:pPr>
              <w:pStyle w:val="TableContents"/>
              <w:bidi w:val="0"/>
              <w:spacing w:lineRule="auto" w:line="300" w:before="0" w:after="2"/>
              <w:jc w:val="center"/>
              <w:rPr/>
            </w:pPr>
            <w:r>
              <w:rPr>
                <w:rFonts w:ascii="Times New Roman;serif" w:hAnsi="Times New Roman;serif"/>
                <w:b w:val="false"/>
                <w:color w:val="000000"/>
                <w:sz w:val="20"/>
              </w:rPr>
              <w:t xml:space="preserve">Awards $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Nonequity </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Incentive</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Plan </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Compensation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Nonqualified</w:t>
            </w:r>
          </w:p>
          <w:p>
            <w:pPr>
              <w:pStyle w:val="TableContents"/>
              <w:bidi w:val="0"/>
              <w:spacing w:lineRule="auto" w:line="300" w:before="0" w:after="2"/>
              <w:jc w:val="center"/>
              <w:rPr>
                <w:color w:val="000000"/>
              </w:rPr>
            </w:pPr>
            <w:r>
              <w:rPr>
                <w:color w:val="000000"/>
              </w:rPr>
              <w:t> </w:t>
            </w:r>
            <w:r>
              <w:rPr>
                <w:rFonts w:ascii="Times New Roman;serif" w:hAnsi="Times New Roman;serif"/>
                <w:b w:val="false"/>
                <w:color w:val="000000"/>
                <w:sz w:val="20"/>
              </w:rPr>
              <w:t>Deferred</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Compensation</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on</w:t>
            </w:r>
          </w:p>
          <w:p>
            <w:pPr>
              <w:pStyle w:val="TableContents"/>
              <w:bidi w:val="0"/>
              <w:spacing w:lineRule="auto" w:line="300" w:before="0" w:after="2"/>
              <w:jc w:val="center"/>
              <w:rPr>
                <w:color w:val="000000"/>
              </w:rPr>
            </w:pPr>
            <w:r>
              <w:rPr>
                <w:color w:val="000000"/>
              </w:rPr>
              <w:t> </w:t>
            </w:r>
            <w:r>
              <w:rPr>
                <w:rFonts w:ascii="Times New Roman;serif" w:hAnsi="Times New Roman;serif"/>
                <w:b w:val="false"/>
                <w:color w:val="000000"/>
                <w:sz w:val="20"/>
              </w:rPr>
              <w:t>Earnings ($)</w:t>
            </w:r>
          </w:p>
        </w:tc>
        <w:tc>
          <w:tcPr>
            <w:tcW w:w="12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All Other</w:t>
            </w:r>
          </w:p>
          <w:p>
            <w:pPr>
              <w:pStyle w:val="TableContents"/>
              <w:bidi w:val="0"/>
              <w:spacing w:lineRule="auto" w:line="300" w:before="0" w:after="2"/>
              <w:jc w:val="center"/>
              <w:rPr/>
            </w:pPr>
            <w:r>
              <w:rPr>
                <w:rFonts w:ascii="Times New Roman;serif" w:hAnsi="Times New Roman;serif"/>
                <w:b w:val="false"/>
                <w:color w:val="000000"/>
                <w:sz w:val="20"/>
              </w:rPr>
              <w:t xml:space="preserve">Compensation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90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Francisco Salva,</w:t>
            </w:r>
          </w:p>
        </w:tc>
        <w:tc>
          <w:tcPr>
            <w:tcW w:w="52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115,500 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13,641 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5"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2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580,221 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Pres. and CEO</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441,080 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Norman Staskey,</w:t>
            </w:r>
          </w:p>
        </w:tc>
        <w:tc>
          <w:tcPr>
            <w:tcW w:w="526"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3,844 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493,640 </w:t>
            </w:r>
          </w:p>
        </w:tc>
        <w:tc>
          <w:tcPr>
            <w:tcW w:w="12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493,640 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CFO</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457,560 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457,560 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Travis Whitfill,</w:t>
            </w:r>
          </w:p>
        </w:tc>
        <w:tc>
          <w:tcPr>
            <w:tcW w:w="526"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396,000 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88,350 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5"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2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485,356 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COO</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384,460 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ind w:left="0" w:right="0" w:hanging="720"/>
        <w:jc w:val="left"/>
        <w:rPr/>
      </w:pPr>
      <w:r>
        <w:rPr/>
      </w:r>
    </w:p>
    <w:p>
      <w:pPr>
        <w:pStyle w:val="TextBody"/>
        <w:bidi w:val="0"/>
        <w:spacing w:lineRule="auto" w:line="268" w:before="0" w:after="160"/>
        <w:ind w:left="0" w:right="0" w:hanging="720"/>
        <w:jc w:val="both"/>
        <w:rPr/>
      </w:pPr>
      <w:r>
        <w:rPr>
          <w:rFonts w:ascii="Times New Roman;serif" w:hAnsi="Times New Roman;serif"/>
          <w:b w:val="false"/>
          <w:color w:val="000000"/>
          <w:sz w:val="20"/>
        </w:rPr>
        <w:t xml:space="preserve">(1)    The dollar amounts in the Option Awards columns above reflect the values of options as of the grant date for the years ended December 31, 2025 and 2024, in accordance with ASC 718, </w:t>
      </w:r>
      <w:r>
        <w:rPr>
          <w:rFonts w:ascii="Times New Roman;serif" w:hAnsi="Times New Roman;serif"/>
          <w:b w:val="false"/>
          <w:i/>
          <w:color w:val="000000"/>
          <w:sz w:val="20"/>
        </w:rPr>
        <w:t>Compensation-Stock Compensation</w:t>
      </w:r>
      <w:r>
        <w:rPr>
          <w:color w:val="000000"/>
        </w:rPr>
        <w:t xml:space="preserve"> </w:t>
      </w:r>
      <w:r>
        <w:rPr>
          <w:rFonts w:ascii="Times New Roman;serif" w:hAnsi="Times New Roman;serif"/>
          <w:b w:val="false"/>
          <w:color w:val="000000"/>
          <w:sz w:val="20"/>
        </w:rPr>
        <w:t>(“ASC 718”) and, therefore, do not necessarily reflect actual benefits received by the individuals. Assumptions used in the calculation of these amounts are included in Note 9 to our audited financial statements.</w:t>
      </w:r>
    </w:p>
    <w:p>
      <w:pPr>
        <w:pStyle w:val="TextBody"/>
        <w:bidi w:val="0"/>
        <w:spacing w:lineRule="auto" w:line="268" w:before="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All other compensation includes commuter benefits, vacation payouts, relocation reimbursements, 401K match contributions, and life insurance premiums, plus consulting fees paid for Mr. Staskey’s services as chief financial officer.</w:t>
      </w:r>
    </w:p>
    <w:p>
      <w:pPr>
        <w:pStyle w:val="TextBody"/>
        <w:bidi w:val="0"/>
        <w:spacing w:lineRule="auto" w:line="268" w:before="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The bonus payouts for fiscal 2024 were based on meeting 75% of certain company-wide metrics (i.e. pre-clinical, clinical &amp; regulatory, financial, and investor relations) with actual payouts adjusted based on whether the individual's goals were achieved, and a pre-determined weighted score based on job level, as approved by the Compensation Committee.</w:t>
      </w:r>
    </w:p>
    <w:p>
      <w:pPr>
        <w:pStyle w:val="TextBody"/>
        <w:bidi w:val="0"/>
        <w:spacing w:lineRule="auto" w:line="268" w:before="0" w:after="160"/>
        <w:ind w:left="0" w:right="0" w:hanging="720"/>
        <w:jc w:val="both"/>
        <w:rPr>
          <w:rFonts w:ascii="Times New Roman;serif" w:hAnsi="Times New Roman;serif"/>
          <w:b/>
          <w:color w:val="000000"/>
          <w:sz w:val="20"/>
        </w:rPr>
      </w:pPr>
      <w:r>
        <w:rPr>
          <w:rFonts w:ascii="Times New Roman;serif" w:hAnsi="Times New Roman;serif"/>
          <w:b/>
          <w:color w:val="000000"/>
          <w:sz w:val="20"/>
        </w:rPr>
        <w:t>Narrative Disclosure to Officer Compensation Table</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our current named executive officers are at-will employees and set forth below is a summary of the current terms of their compensatory arrangements.</w:t>
      </w:r>
    </w:p>
    <w:p>
      <w:pPr>
        <w:pStyle w:val="TextBody"/>
        <w:bidi w:val="0"/>
        <w:spacing w:lineRule="auto" w:line="268" w:before="0" w:after="16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Francisco D. Salva</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entered into an executive employment agreement dated April 22, 2021 with Mr. Salva, pursuant to which Mr. Salva serves as our president and chief executive officer. We have agreed to pay Mr. Salva an annual base salary of $420,000 under the agreement. Mr. Salva is also eligible to receive a bonus of up to 35% of his base salary based on performance parameters set by our Board. Mr. Salva’s executive employment agreement entitles him to participate in health insurance and other benefits, at our expense, made available to other executive officers. In the event of Mr. Salva’s termination by us without cause or his resignation for good reason, as such terms are defined in the executive employment agreement, Mr. Salva will be entitled to the continuation of his base salary and health insurance coverage for a period of 12 months and a prorated amount of his annual bonus for the year in which the termination occurred, subject to the achievement of applicable performance targets. Mr. Salva’s executive employment agreement is an “at will” agreement subject to termination by either party at any time and for any reason, subject to certain notice requirements. The agreement contains customary provisions relating to intellectual property assignment, confidentiality and indemnification.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5"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our execution of the executive employment agreement, we granted to Mr. Salva an option to purchase up to 2,330 shares of our common stock at an exercise price of $340.20 per share under the 2016 Plan. The options vest and become exercisable as follows: 80% of the options, or options to purchase 1,864 shares of our common stock, are subject to time-based vesting, with options to purchase 466 shares (25%) vesting on the first anniversary of the grant and options to purchase 1,398 shares (75%) vesting in equal monthly installments over the 36 months following the first anniversary; 20% of the options, or options to purchase 466 shares of our common stock, shall vest upon patient dosing in the first in-human clinical trial of ATR-12 or a substitute live biotherapeutic product, as determined by our Board in its reasonable discretion. The options expire on the ten-year anniversary of the date of grant.</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19, 2025, we granted Mr. Salva an option to purchase up to 59,309 shares of our common stock at an exercise price of $0.2968 under the 2023 Plan. The options are subject to time-based vesting, with options to purchase 14,827 shares (25%) vesting on the date of issuance and options to purchase the remaining balance vesting in equal monthly installments over the next 36 months of continuous service thereafter. The options expire on the ten-year anniversary of the date of grant.</w:t>
      </w:r>
    </w:p>
    <w:p>
      <w:pPr>
        <w:pStyle w:val="TextBody"/>
        <w:bidi w:val="0"/>
        <w:spacing w:lineRule="auto" w:line="268" w:before="0" w:after="16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Norman Staskey</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Staskey serves as our chief financial officer pursuant to a Consulting Agreement dated October 12, 2020 between us and Danforth Advisors, LLC. Pursuant to the Consulting Agreement, Danforth Advisors provides to us certain strategic and financial advice and support services, including Mr. Staskey’s services as chief financial officer, at hourly rates between $135 and $575 per hour, depending on the level of service and the seniority of the service provider. The Consulting Agreement is subject to termination by either party on 30 days written notice and contains customary provisions relating to intellectual property assignment, confidentiality and indemnification.</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8, 2023, we granted to Mr. Staskey an option to purchase up to 50 shares of our common stock at an exercise price of $413.59 per share under the 2023 Plan. The options are subject to time-based vesting, with options to purchase 13 shares (25%) vesting on the first anniversary of the grant and options to purchase 37 shares (75%) vesting in equal monthly installments over the 36 months following the first anniversary; The options expire on the ten-year anniversary of the date of grant.</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19, 2025, we granted Mr. Staskey an option to purchase up to 15,015 shares of our common stock at an exercise price of $0.2968 under the 2023 Plan. The options are subject to time-based vesting, with options to purchase 3,753 shares (25%) vesting on the date of issuance and options to purchase the remaining balance vesting in equal monthly installments over the next 36 months of continuous service thereafter. The options expire on the ten-year anniversary of the date of grant.</w:t>
      </w:r>
    </w:p>
    <w:p>
      <w:pPr>
        <w:pStyle w:val="TextBody"/>
        <w:bidi w:val="0"/>
        <w:spacing w:lineRule="auto" w:line="268" w:before="0" w:after="16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Travis Whitfill</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entered into an executive employment agreement dated July 5, 2023 with Dr. Whitfill, pursuant to which Dr. Whitfill serves as our chief operating officer. We have agreed to pay Dr. Whitfill an annual base salary of $350,000 under the agreement. Dr. Whitfill is also eligible to receive a bonus of up to 30% of his base salary based on performance parameters set by our Board. Dr. Whitfill’s executive employment agreement entitles him to participate in health insurance and other benefits, at our expense, made available to other executive officers. In the event of Dr. Whitfill’s termination by us for any reason other than cause or his incapacity, as such terms are defined in the executive employment agreement, Dr. Whitfill will be entitled to the continuation of his base salary for a period of six months and, if unpaid at the time of termination, his annual bonus for the year prior to the year in which the termination occurred. Dr. Whitfill’s executive employment agreement is an “at will” agreement subject to termination by either party at any time and for any reason, subject to certain notice requirements. The agreement contains customary provisions relating to intellectual property assignment, confidentiality and indemnification.</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8, 2023, we granted to Dr. Whitfill an option to purchase up to 50 shares of our common stock at an exercise price of $413.59 per share under the 2023 Plan. The options are subject to time-based vesting, with options to purchase 13 shares (25%) vesting on the first anniversary of the grant and options to purchase 37 shares (75%) vesting in equal monthly installments over the 36 months following the first anniversary; The options expire on the ten-year anniversary of the date of grant.</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19, 2025, we granted Dr. Whitfill an option to purchase up to 23,724 shares of our common stock at an exercise price of $0.2968 under the 2023 Plan. The options are subject to time-based vesting, with options to purchase 5,931 shares (25%) vesting on the date of issuance and options to purchase the remaining balance 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6"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160"/>
        <w:jc w:val="both"/>
        <w:rPr>
          <w:rFonts w:ascii="Times New Roman;serif" w:hAnsi="Times New Roman;serif"/>
          <w:b w:val="false"/>
          <w:color w:val="000000"/>
          <w:sz w:val="20"/>
        </w:rPr>
      </w:pPr>
      <w:r>
        <w:rPr>
          <w:rFonts w:ascii="Times New Roman;serif" w:hAnsi="Times New Roman;serif"/>
          <w:b w:val="false"/>
          <w:color w:val="000000"/>
          <w:sz w:val="20"/>
        </w:rPr>
        <w:t>in equal monthly installments over the next 36 months of continuous service thereafter. The options expire on the ten-year anniversary of the date of grant.</w:t>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Potential Payments upon Termination</w:t>
      </w:r>
    </w:p>
    <w:p>
      <w:pPr>
        <w:pStyle w:val="TextBody"/>
        <w:bidi w:val="0"/>
        <w:spacing w:lineRule="auto" w:line="266"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noted above, the officer employment agreements entitle each officer to reasonable and customary health insurance and other benefits, at our expense, and a severance payment based on their then annual salary and related benefits in the event of our termination of their employment without cause or their resignation for good reason.</w:t>
      </w:r>
    </w:p>
    <w:p>
      <w:pPr>
        <w:pStyle w:val="TextBody"/>
        <w:bidi w:val="0"/>
        <w:spacing w:lineRule="auto" w:line="266"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qualifying involuntary termination had occurred on December 31, 2025, our executive officers would have been eligible to receive the following amounts:</w:t>
      </w:r>
    </w:p>
    <w:tbl>
      <w:tblPr>
        <w:tblW w:w="9435" w:type="dxa"/>
        <w:jc w:val="left"/>
        <w:tblInd w:w="0" w:type="dxa"/>
        <w:tblLayout w:type="fixed"/>
        <w:tblCellMar>
          <w:top w:w="28" w:type="dxa"/>
          <w:left w:w="28" w:type="dxa"/>
          <w:bottom w:w="28" w:type="dxa"/>
          <w:right w:w="28" w:type="dxa"/>
        </w:tblCellMar>
      </w:tblPr>
      <w:tblGrid>
        <w:gridCol w:w="521"/>
        <w:gridCol w:w="457"/>
        <w:gridCol w:w="461"/>
        <w:gridCol w:w="109"/>
        <w:gridCol w:w="109"/>
        <w:gridCol w:w="109"/>
        <w:gridCol w:w="579"/>
        <w:gridCol w:w="579"/>
        <w:gridCol w:w="581"/>
        <w:gridCol w:w="109"/>
        <w:gridCol w:w="109"/>
        <w:gridCol w:w="109"/>
        <w:gridCol w:w="546"/>
        <w:gridCol w:w="2139"/>
        <w:gridCol w:w="284"/>
        <w:gridCol w:w="109"/>
        <w:gridCol w:w="109"/>
        <w:gridCol w:w="109"/>
        <w:gridCol w:w="356"/>
        <w:gridCol w:w="1395"/>
        <w:gridCol w:w="184"/>
        <w:gridCol w:w="109"/>
        <w:gridCol w:w="109"/>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Type of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20"/>
              </w:rPr>
              <w:t>Termination of Employment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Change in Control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Francisco Salva</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Severance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39"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565,000 </w:t>
            </w:r>
          </w:p>
        </w:tc>
        <w:tc>
          <w:tcPr>
            <w:tcW w:w="28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35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 Acceleration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39"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10,230 </w:t>
            </w:r>
          </w:p>
        </w:tc>
        <w:tc>
          <w:tcPr>
            <w:tcW w:w="28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10,230 </w:t>
            </w:r>
          </w:p>
        </w:tc>
        <w:tc>
          <w:tcPr>
            <w:tcW w:w="18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Norman Staskey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 Acceleration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Travis Whitfill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Severance</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39"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286,350 </w:t>
            </w:r>
          </w:p>
        </w:tc>
        <w:tc>
          <w:tcPr>
            <w:tcW w:w="28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5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286,350 </w:t>
            </w:r>
          </w:p>
        </w:tc>
        <w:tc>
          <w:tcPr>
            <w:tcW w:w="18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1439"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 Acceleration</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139"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8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95"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(1)    Cash severance is available for qualified terminations that occur before or after a change in control.</w:t>
      </w:r>
    </w:p>
    <w:p>
      <w:pPr>
        <w:pStyle w:val="TextBody"/>
        <w:bidi w:val="0"/>
        <w:spacing w:lineRule="auto" w:line="26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Includes $450,000 salary and $115,500 bonus.</w:t>
      </w:r>
    </w:p>
    <w:p>
      <w:pPr>
        <w:pStyle w:val="TextBody"/>
        <w:bidi w:val="0"/>
        <w:spacing w:lineRule="auto" w:line="26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Includes $198,000 salary and $88,350 bonus.</w:t>
      </w:r>
    </w:p>
    <w:p>
      <w:pPr>
        <w:pStyle w:val="TextBody"/>
        <w:bidi w:val="0"/>
        <w:spacing w:before="0" w:after="0"/>
        <w:jc w:val="left"/>
        <w:rPr/>
      </w:pPr>
      <w:r>
        <w:rPr/>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 xml:space="preserve">Outstanding Equity Awards at December 31, 2025 </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 forth below is information concerning the equity awards held by our named executive officers as of December 31, 2025.</w:t>
      </w:r>
    </w:p>
    <w:tbl>
      <w:tblPr>
        <w:tblW w:w="10205" w:type="dxa"/>
        <w:jc w:val="left"/>
        <w:tblInd w:w="0" w:type="dxa"/>
        <w:tblLayout w:type="fixed"/>
        <w:tblCellMar>
          <w:top w:w="28" w:type="dxa"/>
          <w:left w:w="28" w:type="dxa"/>
          <w:bottom w:w="28" w:type="dxa"/>
          <w:right w:w="28" w:type="dxa"/>
        </w:tblCellMar>
      </w:tblPr>
      <w:tblGrid>
        <w:gridCol w:w="388"/>
        <w:gridCol w:w="340"/>
        <w:gridCol w:w="343"/>
        <w:gridCol w:w="109"/>
        <w:gridCol w:w="109"/>
        <w:gridCol w:w="109"/>
        <w:gridCol w:w="916"/>
        <w:gridCol w:w="753"/>
        <w:gridCol w:w="755"/>
        <w:gridCol w:w="109"/>
        <w:gridCol w:w="109"/>
        <w:gridCol w:w="109"/>
        <w:gridCol w:w="1049"/>
        <w:gridCol w:w="753"/>
        <w:gridCol w:w="755"/>
        <w:gridCol w:w="109"/>
        <w:gridCol w:w="109"/>
        <w:gridCol w:w="109"/>
        <w:gridCol w:w="288"/>
        <w:gridCol w:w="984"/>
        <w:gridCol w:w="148"/>
        <w:gridCol w:w="109"/>
        <w:gridCol w:w="109"/>
        <w:gridCol w:w="109"/>
        <w:gridCol w:w="414"/>
        <w:gridCol w:w="414"/>
        <w:gridCol w:w="597"/>
      </w:tblGrid>
      <w:tr>
        <w:trPr/>
        <w:tc>
          <w:tcPr>
            <w:tcW w:w="3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5"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Securities Underlying Unexercised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Securities Underlying Unexercised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Unexercisable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Option 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Option Expiration Date</w:t>
            </w:r>
          </w:p>
        </w:tc>
      </w:tr>
      <w:tr>
        <w:trPr/>
        <w:tc>
          <w:tcPr>
            <w:tcW w:w="1071"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Francisco Salva</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2,330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340.20 </w:t>
            </w:r>
          </w:p>
        </w:tc>
        <w:tc>
          <w:tcPr>
            <w:tcW w:w="148"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06/29/31</w:t>
            </w:r>
          </w:p>
        </w:tc>
      </w:tr>
      <w:tr>
        <w:trPr/>
        <w:tc>
          <w:tcPr>
            <w:tcW w:w="107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14,827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val="false"/>
                <w:color w:val="000000"/>
                <w:sz w:val="20"/>
              </w:rPr>
              <w:t>44,482</w:t>
            </w:r>
            <w:r>
              <w:rPr>
                <w:rFonts w:ascii="Times New Roman;serif" w:hAnsi="Times New Roman;serif"/>
                <w:b w:val="false"/>
                <w:color w:val="000000"/>
                <w:sz w:val="13"/>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0.2968 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12/19/35</w:t>
            </w:r>
          </w:p>
        </w:tc>
      </w:tr>
      <w:tr>
        <w:trPr/>
        <w:tc>
          <w:tcPr>
            <w:tcW w:w="107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Norman Staskey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val="false"/>
                <w:color w:val="000000"/>
                <w:sz w:val="20"/>
              </w:rPr>
              <w:t>22</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09/08/33</w:t>
            </w:r>
          </w:p>
        </w:tc>
      </w:tr>
      <w:tr>
        <w:trPr/>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val="false"/>
                <w:color w:val="000000"/>
                <w:sz w:val="20"/>
              </w:rPr>
              <w:t>11,262</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0.2968 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12/19/35</w:t>
            </w:r>
          </w:p>
        </w:tc>
      </w:tr>
      <w:tr>
        <w:trPr/>
        <w:tc>
          <w:tcPr>
            <w:tcW w:w="1071"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Travis Whitfill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01/01/26</w:t>
            </w:r>
          </w:p>
        </w:tc>
      </w:tr>
      <w:tr>
        <w:trPr/>
        <w:tc>
          <w:tcPr>
            <w:tcW w:w="107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340.20 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12/16/30</w:t>
            </w:r>
          </w:p>
        </w:tc>
      </w:tr>
      <w:tr>
        <w:trPr/>
        <w:tc>
          <w:tcPr>
            <w:tcW w:w="107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val="false"/>
                <w:color w:val="000000"/>
                <w:sz w:val="20"/>
              </w:rPr>
              <w:t>22</w:t>
            </w:r>
            <w:r>
              <w:rPr>
                <w:rFonts w:ascii="Times New Roman;serif" w:hAnsi="Times New Roman;serif"/>
                <w:b w:val="false"/>
                <w:color w:val="000000"/>
                <w:sz w:val="13"/>
              </w:rPr>
              <w:t>(2)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413.59 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09/08/33</w:t>
            </w:r>
          </w:p>
        </w:tc>
      </w:tr>
      <w:tr>
        <w:trPr/>
        <w:tc>
          <w:tcPr>
            <w:tcW w:w="1071"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5,931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val="false"/>
                <w:color w:val="000000"/>
                <w:sz w:val="20"/>
              </w:rPr>
              <w:t>17,793</w:t>
            </w:r>
            <w:r>
              <w:rPr>
                <w:rFonts w:ascii="Times New Roman;serif" w:hAnsi="Times New Roman;serif"/>
                <w:b w:val="false"/>
                <w:color w:val="000000"/>
                <w:sz w:val="13"/>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0.2968 </w:t>
            </w:r>
          </w:p>
        </w:tc>
        <w:tc>
          <w:tcPr>
            <w:tcW w:w="148"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12/19/35</w:t>
            </w:r>
          </w:p>
        </w:tc>
      </w:tr>
    </w:tbl>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Options continue to vest ratably over the remaining thirty-six months of continuous service.</w:t>
      </w:r>
    </w:p>
    <w:p>
      <w:pPr>
        <w:pStyle w:val="TextBody"/>
        <w:bidi w:val="0"/>
        <w:spacing w:lineRule="auto" w:line="268" w:before="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25% of the option awards vest on the first anniversary of the grant date with the remaining shares vesting ratably each month during the remaining thirty-six months of continuous service.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7"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Policies and Practices Related to the Grant of Certain Equity Awards Close in Time to the Release of Material Nonpublic Information</w:t>
      </w:r>
    </w:p>
    <w:p>
      <w:pPr>
        <w:pStyle w:val="TextBody"/>
        <w:bidi w:val="0"/>
        <w:spacing w:lineRule="auto" w:line="266"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do not have a formal written policy in place with regard to the timing of awards of options in relation to the disclosure of material nonpublic information, our Board and the Compensation Committee do not seek to time equity grants to take advantage of information, either positive or negative, about our Company that has not been publicly disclosed. Similarly, it is our practice not to time the release of material nonpublic information based on equity award grant date or for the purpose of affecting the value of executive compensation. During the year ended December 31, 2025, we did not grant stock options four business days before or one business day following the release of material non-public information.</w:t>
      </w:r>
    </w:p>
    <w:p>
      <w:pPr>
        <w:pStyle w:val="TextBody"/>
        <w:bidi w:val="0"/>
        <w:spacing w:lineRule="auto" w:line="268" w:before="0" w:after="160"/>
        <w:ind w:left="0" w:right="0" w:hanging="720"/>
        <w:jc w:val="both"/>
        <w:rPr>
          <w:rFonts w:ascii="Times New Roman;serif" w:hAnsi="Times New Roman;serif"/>
          <w:b/>
          <w:color w:val="000000"/>
          <w:sz w:val="20"/>
        </w:rPr>
      </w:pPr>
      <w:r>
        <w:rPr>
          <w:rFonts w:ascii="Times New Roman;serif" w:hAnsi="Times New Roman;serif"/>
          <w:b/>
          <w:color w:val="000000"/>
          <w:sz w:val="20"/>
        </w:rPr>
        <w:t>Non-Employee Director Compensation</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 forth below is a summary of the compensation we paid to our non-executive directors during the year ended December 31, 2025.</w:t>
      </w:r>
    </w:p>
    <w:tbl>
      <w:tblPr>
        <w:tblW w:w="10205" w:type="dxa"/>
        <w:jc w:val="center"/>
        <w:tblInd w:w="0" w:type="dxa"/>
        <w:tblLayout w:type="fixed"/>
        <w:tblCellMar>
          <w:top w:w="28" w:type="dxa"/>
          <w:left w:w="28" w:type="dxa"/>
          <w:bottom w:w="28" w:type="dxa"/>
          <w:right w:w="28" w:type="dxa"/>
        </w:tblCellMar>
      </w:tblPr>
      <w:tblGrid>
        <w:gridCol w:w="316"/>
        <w:gridCol w:w="278"/>
        <w:gridCol w:w="282"/>
        <w:gridCol w:w="109"/>
        <w:gridCol w:w="109"/>
        <w:gridCol w:w="109"/>
        <w:gridCol w:w="345"/>
        <w:gridCol w:w="312"/>
        <w:gridCol w:w="313"/>
        <w:gridCol w:w="109"/>
        <w:gridCol w:w="109"/>
        <w:gridCol w:w="109"/>
        <w:gridCol w:w="329"/>
        <w:gridCol w:w="329"/>
        <w:gridCol w:w="330"/>
        <w:gridCol w:w="109"/>
        <w:gridCol w:w="109"/>
        <w:gridCol w:w="109"/>
        <w:gridCol w:w="443"/>
        <w:gridCol w:w="443"/>
        <w:gridCol w:w="444"/>
        <w:gridCol w:w="109"/>
        <w:gridCol w:w="109"/>
        <w:gridCol w:w="109"/>
        <w:gridCol w:w="612"/>
        <w:gridCol w:w="612"/>
        <w:gridCol w:w="613"/>
        <w:gridCol w:w="109"/>
        <w:gridCol w:w="109"/>
        <w:gridCol w:w="109"/>
        <w:gridCol w:w="463"/>
        <w:gridCol w:w="463"/>
        <w:gridCol w:w="464"/>
        <w:gridCol w:w="109"/>
        <w:gridCol w:w="109"/>
        <w:gridCol w:w="109"/>
        <w:gridCol w:w="258"/>
        <w:gridCol w:w="258"/>
        <w:gridCol w:w="336"/>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Fees Earned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or</w:t>
            </w:r>
          </w:p>
          <w:p>
            <w:pPr>
              <w:pStyle w:val="TableContents"/>
              <w:bidi w:val="0"/>
              <w:spacing w:lineRule="auto" w:line="300" w:before="0" w:after="2"/>
              <w:jc w:val="center"/>
              <w:rPr>
                <w:color w:val="000000"/>
              </w:rPr>
            </w:pPr>
            <w:r>
              <w:rPr>
                <w:color w:val="000000"/>
              </w:rPr>
              <w:t> </w:t>
            </w:r>
            <w:r>
              <w:rPr>
                <w:rFonts w:ascii="Times New Roman;serif" w:hAnsi="Times New Roman;serif"/>
                <w:b/>
                <w:color w:val="000000"/>
                <w:sz w:val="20"/>
              </w:rPr>
              <w:t>Paid in Cash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Nonequity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Incentive Plan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Nonqualified</w:t>
            </w:r>
          </w:p>
          <w:p>
            <w:pPr>
              <w:pStyle w:val="TableContents"/>
              <w:bidi w:val="0"/>
              <w:spacing w:lineRule="auto" w:line="300" w:before="0" w:after="2"/>
              <w:jc w:val="center"/>
              <w:rPr>
                <w:color w:val="000000"/>
              </w:rPr>
            </w:pPr>
            <w:r>
              <w:rPr>
                <w:color w:val="000000"/>
              </w:rPr>
              <w:t> </w:t>
            </w:r>
            <w:r>
              <w:rPr>
                <w:rFonts w:ascii="Times New Roman;serif" w:hAnsi="Times New Roman;serif"/>
                <w:b/>
                <w:color w:val="000000"/>
                <w:sz w:val="20"/>
              </w:rPr>
              <w:t>Deferred Compensation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 xml:space="preserve">All Other </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Total ($)</w:t>
            </w:r>
          </w:p>
        </w:tc>
      </w:tr>
      <w:tr>
        <w:trPr/>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Barbara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$38,500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$39,269</w:t>
            </w:r>
          </w:p>
        </w:tc>
      </w:tr>
      <w:tr>
        <w:trPr/>
        <w:tc>
          <w:tcPr>
            <w:tcW w:w="87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John Schroer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$39,500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$40,269</w:t>
            </w:r>
          </w:p>
        </w:tc>
      </w:tr>
    </w:tbl>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dollar amounts in the Option Awards columns above reflect the values of options as of the grant date for the year ended December 31, 2025, in accordance with ASC 718, Compensation-Stock Compensation and, therefore, do not necessarily reflect actual benefits received by the individuals. Assumptions used in the calculation of these amounts are included in Note 9 to our audited consolidated financial statements included in our 2025 Form 10</w:t>
        <w:noBreakHyphen/>
        <w:t>K.</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compensate any of our executive directors for their service as a director. Our Board, on the recommendation of the Compensation Committee, approved the following compensation policy for our non-executive directors commencing with the 2024 calendar year:</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An annual Board retainer of $25,000 for the non-executive directors;</w:t>
      </w:r>
    </w:p>
    <w:p>
      <w:pPr>
        <w:pStyle w:val="TextBody"/>
        <w:bidi w:val="0"/>
        <w:spacing w:lineRule="auto" w:line="256" w:before="0" w:after="0"/>
        <w:ind w:left="0" w:right="0" w:hanging="360"/>
        <w:jc w:val="both"/>
        <w:rPr/>
      </w:pPr>
      <w:r>
        <w:rPr>
          <w:color w:val="000000"/>
        </w:rPr>
        <w:t>•</w:t>
      </w:r>
      <w:r>
        <w:rPr>
          <w:rFonts w:ascii="Times New Roman;serif" w:hAnsi="Times New Roman;serif"/>
          <w:b w:val="false"/>
          <w:color w:val="000000"/>
          <w:sz w:val="20"/>
        </w:rPr>
        <w:t>An annual retainer of $5,000 for the chairs of the Compensation Committee and Nominating and Corporate Governance Committee and an annual retainer of $7,500 for the chair of the Audit Committee; and</w:t>
      </w:r>
    </w:p>
    <w:p>
      <w:pPr>
        <w:pStyle w:val="TextBody"/>
        <w:bidi w:val="0"/>
        <w:spacing w:lineRule="auto" w:line="256" w:before="0" w:after="160"/>
        <w:ind w:left="0" w:right="0" w:hanging="360"/>
        <w:jc w:val="both"/>
        <w:rPr/>
      </w:pPr>
      <w:r>
        <w:rPr>
          <w:color w:val="000000"/>
        </w:rPr>
        <w:t>•</w:t>
      </w:r>
      <w:r>
        <w:rPr>
          <w:rFonts w:ascii="Times New Roman;serif" w:hAnsi="Times New Roman;serif"/>
          <w:b w:val="false"/>
          <w:color w:val="000000"/>
          <w:sz w:val="20"/>
        </w:rPr>
        <w:t>An annual retainer of $3,500 for the other members of the Compensation Committee, Nominating and Corporate Governance Committee and Audit Committee.</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retainers are payable quarterly in arrears and shall be prorated for any portion of a year to which they apply for each outside director. We also reimburse our non-executive directors for their reasonable expenses incurred in connection with attending meetings of our Board and Board Committees. From time to time, we may engage our non</w:t>
        <w:noBreakHyphen/>
        <w:t>executive directors to provide consulting services on our behalf, although we have not engaged any non</w:t>
        <w:noBreakHyphen/>
        <w:t xml:space="preserve">executive directors in a consulting capacity as of the date of this filing. </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cash retainers, in September 2023, we granted to each of Mrs. Ryan and Mr. Schroer an option to purchase up to 50 shares of our common stock at an exercise price of $413.59 per share under the 2023 Plan. The options are subject to time-based vesting, with options to purchase 13 shares (25%) vesting on the first anniversary of the grant and options to purchase 37 shares (75%) vesting in equal monthly installments over the 36 months following the first anniversary, subject to their continued service on our Board. The options expire on the 10-year anniversary of the date of grant.</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19, 2025, we granted Barbara Ryan an option to purchase up to 3,003 shares of our common stock at an exercise price of $0.2968 under the 2023 Plan. The options are subject to time-based vesting, with options to purchase 750 shares (25%) vesting on the date of issuance and options to purchase the remaining balance vesting in equal monthly installments over the next 36 months of continuous service thereafter. The options expire on the ten-year anniversary of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38"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2"/>
        <w:jc w:val="left"/>
        <w:rPr/>
      </w:pPr>
      <w:r>
        <w:rPr/>
      </w:r>
    </w:p>
    <w:p>
      <w:pPr>
        <w:pStyle w:val="TextBody"/>
        <w:bidi w:val="0"/>
        <w:spacing w:lineRule="auto" w:line="268" w:before="0" w:after="160"/>
        <w:jc w:val="left"/>
        <w:rPr>
          <w:rFonts w:ascii="Times New Roman;serif" w:hAnsi="Times New Roman;serif"/>
          <w:b w:val="false"/>
          <w:color w:val="000000"/>
          <w:sz w:val="20"/>
        </w:rPr>
      </w:pPr>
      <w:r>
        <w:rPr>
          <w:rFonts w:ascii="Times New Roman;serif" w:hAnsi="Times New Roman;serif"/>
          <w:b w:val="false"/>
          <w:color w:val="000000"/>
          <w:sz w:val="20"/>
        </w:rPr>
        <w:t>On December 19, 2025, we granted John Schroer an option to purchase up to 3,003 shares of our common stock at an exercise price of $0.2968 under the 2023 Plan. The options are subject to time-based vesting, with options to purchase 750 shares (25%) vesting on the date of issuance and options to purchase the remaining balance vesting in equal monthly installments over the next 36 months of continuous service thereafter. The options expire on the ten-year anniversary of the date of grant.</w:t>
      </w:r>
    </w:p>
    <w:p>
      <w:pPr>
        <w:pStyle w:val="TextBody"/>
        <w:bidi w:val="0"/>
        <w:spacing w:before="0" w:after="16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39"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have adopted the Azitra, Inc. 2016 Stock Incentive Plan, or 2016 Plan, providing for the grant of non-qualified stock options and incentive stock options to purchase shares of our common stock and for the grant of restricted and unrestricted share grants and restricted stock units. We currently have reserved 7,460 shares of our common stock under the 2016 Plan. The purpose of the 2016 Plan is to provide eligible participants with an opportunity to acquire an ownership interest in our company. All officers, directors, employees and consultants to our company are eligible to participate under the 2016 Plan. The 2016 Plan provides that options may not be granted at an exercise price less than the fair market value of our shares of common stock on the date of grant. As of the date of this report, we have outstanding options granted under the 2016 Plan to purchase an aggregate of 3,999 shares of our common stock at an average exercise price of $340.20 per share.</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2023, our Board and stockholders approved and adopted the Azitra, Inc. 2023 Stock Incentive Plan, or 2023 Plan, providing for the grant of non-qualified stock options and incentive stock options to purchase shares of our common stock and for the grant of restricted and unrestricted share grants and restricted stock units. On October 3, 2024, the Company’s Board of Directors approved amendments to the 2023 Plan that, subject to stockholder approval, would (i) increase the number of shares of common stock that may be issued under the 2023 Plan by 171,832 shares and (ii) adopt an evergreen provision to the 2023 Plan providing for an automatic 5% annual increase in the shares of common stock available for issuance under the 2023 Plan over the next 10 years commencing on January 1, 2026. Both amendments were approved by the Company’s stockholders at the Company’s annual stockholder meeting held on November 20, 2024. On the January 1, 2026, an additional 537,034 shares of common stock became available under the 2023 Plan in accordance with the evergreen Provision. We currently have reserved 718,876 shares of our common stock under the 2023 Plan. The purpose of the 2023 Plan is to provide eligible participants with an opportunity to acquire an ownership interest in our company. All officers, directors, employees and consultants to our company are eligible to participate under the 2023 Plan. The 2023 Plan provides that options may not be granted at an exercise price less than the fair market value of our shares of common stock on the date of grant. As of the date of this report, we have outstanding options granted under the 2023 Plan to purchase an aggregate of 134,284 shares of our common stock at an average exercise price of $0.91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0"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as of December 31, 2025 about our 2016 Plan and 2023 Plan under which our equity securities are authorized for issuance.</w:t>
      </w:r>
    </w:p>
    <w:tbl>
      <w:tblPr>
        <w:tblW w:w="10205" w:type="dxa"/>
        <w:jc w:val="left"/>
        <w:tblInd w:w="0" w:type="dxa"/>
        <w:tblLayout w:type="fixed"/>
        <w:tblCellMar>
          <w:top w:w="28" w:type="dxa"/>
          <w:left w:w="28" w:type="dxa"/>
          <w:bottom w:w="28" w:type="dxa"/>
          <w:right w:w="28" w:type="dxa"/>
        </w:tblCellMar>
      </w:tblPr>
      <w:tblGrid>
        <w:gridCol w:w="704"/>
        <w:gridCol w:w="618"/>
        <w:gridCol w:w="548"/>
        <w:gridCol w:w="109"/>
        <w:gridCol w:w="109"/>
        <w:gridCol w:w="109"/>
        <w:gridCol w:w="703"/>
        <w:gridCol w:w="648"/>
        <w:gridCol w:w="650"/>
        <w:gridCol w:w="109"/>
        <w:gridCol w:w="109"/>
        <w:gridCol w:w="109"/>
        <w:gridCol w:w="500"/>
        <w:gridCol w:w="1462"/>
        <w:gridCol w:w="259"/>
        <w:gridCol w:w="109"/>
        <w:gridCol w:w="109"/>
        <w:gridCol w:w="109"/>
        <w:gridCol w:w="915"/>
        <w:gridCol w:w="915"/>
        <w:gridCol w:w="1302"/>
      </w:tblGrid>
      <w:tr>
        <w:trPr/>
        <w:tc>
          <w:tcPr>
            <w:tcW w:w="70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(a)</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Securities to be issued Upon Exercise of 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(b)</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Weighted-Average Exercise Price of 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 of securities Remaining Available for Future Issuance Under Equity Compensation Plans (Excluding Securities Reflected In Column (a))</w:t>
            </w:r>
          </w:p>
        </w:tc>
      </w:tr>
      <w:tr>
        <w:trPr/>
        <w:tc>
          <w:tcPr>
            <w:tcW w:w="1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Equity compensation plans approved by security holders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139,922 </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62" w:type="dxa"/>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48,994</w:t>
            </w:r>
          </w:p>
        </w:tc>
      </w:tr>
      <w:tr>
        <w:trPr/>
        <w:tc>
          <w:tcPr>
            <w:tcW w:w="18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6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62" w:type="dxa"/>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139,922 </w:t>
            </w:r>
          </w:p>
        </w:tc>
        <w:tc>
          <w:tcPr>
            <w:tcW w:w="6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48,994</w:t>
            </w:r>
          </w:p>
        </w:tc>
      </w:tr>
    </w:tbl>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In November 2024, our stockholders approved amendments to the 2023Plan, that among other items, adopted an evergreen provision to the 2023 Plan providing for an automatic 5% annual increase in the shares of common stock available for issuance under the 2023 Plan over the next 10 years, commencing on January 1, 20</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the beneficial ownership of our shares of common stock as of the date of this report by:</w:t>
      </w:r>
    </w:p>
    <w:p>
      <w:pPr>
        <w:pStyle w:val="TextBody"/>
        <w:bidi w:val="0"/>
        <w:spacing w:lineRule="auto" w:line="300" w:before="0" w:after="2"/>
        <w:ind w:left="0" w:right="0" w:hanging="720"/>
        <w:jc w:val="both"/>
        <w:rPr>
          <w:color w:val="000000"/>
        </w:rPr>
      </w:pPr>
      <w:r>
        <w:rPr>
          <w:color w:val="000000"/>
        </w:rPr>
        <w:t>●    </w:t>
      </w:r>
      <w:r>
        <w:rPr>
          <w:rFonts w:ascii="Times New Roman;serif" w:hAnsi="Times New Roman;serif"/>
          <w:b w:val="false"/>
          <w:color w:val="000000"/>
          <w:sz w:val="20"/>
        </w:rPr>
        <w:t>each person who is known by us to be the beneficial owner of more than five percent (5%) of our issued and outstanding shares of common stock;</w:t>
      </w:r>
    </w:p>
    <w:p>
      <w:pPr>
        <w:pStyle w:val="TextBody"/>
        <w:bidi w:val="0"/>
        <w:spacing w:lineRule="auto" w:line="300" w:before="0" w:after="2"/>
        <w:jc w:val="both"/>
        <w:rPr>
          <w:color w:val="000000"/>
        </w:rPr>
      </w:pPr>
      <w:r>
        <w:rPr>
          <w:color w:val="000000"/>
        </w:rPr>
        <w:t>    ●    </w:t>
      </w:r>
      <w:r>
        <w:rPr>
          <w:rFonts w:ascii="Times New Roman;serif" w:hAnsi="Times New Roman;serif"/>
          <w:b w:val="false"/>
          <w:color w:val="000000"/>
          <w:sz w:val="20"/>
        </w:rPr>
        <w:t>each of our executive officers and directors; and</w:t>
      </w:r>
    </w:p>
    <w:p>
      <w:pPr>
        <w:pStyle w:val="TextBody"/>
        <w:bidi w:val="0"/>
        <w:spacing w:lineRule="auto" w:line="300" w:before="0" w:after="160"/>
        <w:jc w:val="both"/>
        <w:rPr>
          <w:color w:val="000000"/>
        </w:rPr>
      </w:pPr>
      <w:r>
        <w:rPr>
          <w:color w:val="000000"/>
        </w:rPr>
        <w:t>    ●    </w:t>
      </w:r>
      <w:r>
        <w:rPr>
          <w:rFonts w:ascii="Times New Roman;serif" w:hAnsi="Times New Roman;serif"/>
          <w:b w:val="false"/>
          <w:color w:val="000000"/>
          <w:sz w:val="20"/>
        </w:rPr>
        <w:t>all of the aforementioned directors and executive officers as a group.</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beneficial ownership of each person was calculated based on 15,892,438 shares of common stock issued as of February 27, 2026. The SEC has defined “beneficial ownership” to mean more than ownership in the usual sense. For example, a person has beneficial ownership of a share not only if he owns it, but also if he has the power (solely or shared) to vote, sell or otherwise dispose of the share. Beneficial ownership also includes the number of shares that a person has the right to acquire within 60 days of February 27, 2026, pursuant to the exercise of options or warrants or the conversion of notes, debentures or other indebtedness. Two or more persons might count as beneficial owners of the same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1"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the address for each reporting person is c/o Azitra, Inc., 21 Business Park Drive, Branford, Connecticut 06405.</w:t>
      </w:r>
    </w:p>
    <w:tbl>
      <w:tblPr>
        <w:tblW w:w="8526" w:type="dxa"/>
        <w:jc w:val="left"/>
        <w:tblInd w:w="0" w:type="dxa"/>
        <w:tblLayout w:type="fixed"/>
        <w:tblCellMar>
          <w:top w:w="28" w:type="dxa"/>
          <w:left w:w="28" w:type="dxa"/>
          <w:bottom w:w="28" w:type="dxa"/>
          <w:right w:w="28" w:type="dxa"/>
        </w:tblCellMar>
      </w:tblPr>
      <w:tblGrid>
        <w:gridCol w:w="1640"/>
        <w:gridCol w:w="1442"/>
        <w:gridCol w:w="1447"/>
        <w:gridCol w:w="109"/>
        <w:gridCol w:w="109"/>
        <w:gridCol w:w="109"/>
        <w:gridCol w:w="539"/>
        <w:gridCol w:w="539"/>
        <w:gridCol w:w="541"/>
        <w:gridCol w:w="109"/>
        <w:gridCol w:w="109"/>
        <w:gridCol w:w="109"/>
        <w:gridCol w:w="505"/>
        <w:gridCol w:w="505"/>
        <w:gridCol w:w="714"/>
      </w:tblGrid>
      <w:tr>
        <w:trPr/>
        <w:tc>
          <w:tcPr>
            <w:tcW w:w="16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Name of Director and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Percentage Owned</w:t>
            </w:r>
          </w:p>
        </w:tc>
      </w:tr>
      <w:tr>
        <w:trPr/>
        <w:tc>
          <w:tcPr>
            <w:tcW w:w="452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Francisco D. Salva</w:t>
            </w:r>
            <w:r>
              <w:rPr>
                <w:rFonts w:ascii="Times New Roman;serif" w:hAnsi="Times New Roman;serif"/>
                <w:b w:val="false"/>
                <w:color w:val="000000"/>
                <w:sz w:val="13"/>
              </w:rPr>
              <w:t>(1)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21,399</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9"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Norman Staskey</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Travis Whitfill</w:t>
            </w:r>
            <w:r>
              <w:rPr>
                <w:rFonts w:ascii="Times New Roman;serif" w:hAnsi="Times New Roman;serif"/>
                <w:b w:val="false"/>
                <w:color w:val="000000"/>
                <w:sz w:val="13"/>
              </w:rPr>
              <w:t>(3)</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9,091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9"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Barbara Ryan </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John Schroer</w:t>
            </w:r>
            <w:r>
              <w:rPr>
                <w:rFonts w:ascii="Times New Roman;serif" w:hAnsi="Times New Roman;serif"/>
                <w:b w:val="false"/>
                <w:color w:val="000000"/>
                <w:sz w:val="13"/>
              </w:rPr>
              <w:t>(5)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Directors and executive officers, as a group (5 persons)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36,973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8152" w:type="dxa"/>
        <w:jc w:val="left"/>
        <w:tblInd w:w="0" w:type="dxa"/>
        <w:tblLayout w:type="fixed"/>
        <w:tblCellMar>
          <w:top w:w="28" w:type="dxa"/>
          <w:left w:w="28" w:type="dxa"/>
          <w:bottom w:w="28" w:type="dxa"/>
          <w:right w:w="28" w:type="dxa"/>
        </w:tblCellMar>
      </w:tblPr>
      <w:tblGrid>
        <w:gridCol w:w="1503"/>
        <w:gridCol w:w="1322"/>
        <w:gridCol w:w="1329"/>
        <w:gridCol w:w="109"/>
        <w:gridCol w:w="109"/>
        <w:gridCol w:w="109"/>
        <w:gridCol w:w="539"/>
        <w:gridCol w:w="539"/>
        <w:gridCol w:w="541"/>
        <w:gridCol w:w="109"/>
        <w:gridCol w:w="109"/>
        <w:gridCol w:w="109"/>
        <w:gridCol w:w="351"/>
        <w:gridCol w:w="351"/>
        <w:gridCol w:w="1023"/>
      </w:tblGrid>
      <w:tr>
        <w:trPr/>
        <w:tc>
          <w:tcPr>
            <w:tcW w:w="15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Name and Address of Five Percent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Percentage Owned</w:t>
            </w:r>
          </w:p>
        </w:tc>
      </w:tr>
      <w:tr>
        <w:trPr/>
        <w:tc>
          <w:tcPr>
            <w:tcW w:w="415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Alumni Capital LP</w:t>
            </w:r>
            <w:r>
              <w:rPr>
                <w:rFonts w:ascii="Times New Roman;serif" w:hAnsi="Times New Roman;serif"/>
                <w:b w:val="false"/>
                <w:color w:val="000000"/>
                <w:sz w:val="13"/>
              </w:rPr>
              <w:t>(6)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1,132,622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23"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    Represents less than 1% of the number of shares of our common stock outstanding.</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(1)    Includes 19,628 shares of our common stock issuable upon exercise of presently exercisable options.</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(2)    Includes 4,409 shares of our common stock issuable upon exercise of presently exercisable options.</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(3)    Includes 7,415 shares of our common stock issuable upon exercise of presently exercisable options.</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(4)    Includes 908 shares of our common stock issuable upon exercise of presently exercisable options.</w:t>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(5)    Includes 908 shares of our common stock issuable upon exercise of presently exercisable options.</w:t>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    Based on a Schedule 13G/A filed with the Securities and Exchange Commission on December 19, 2025, the shares represent 535,759 shares of common stock and the right to acquire 596,863 shares of common stock. Should Alumni Capital LP dispose of at least 356,895 shares it currently owns, it would have the right to acquire an additional 795,579 shares upon exercise of outstanding warrants (based on the 9.99% Ownership Limitation in the warrants). Alumni Capital LP is the fund and has the right to acquire securities of the Company, Alumni Capital GP LLC is the general partner of Alumni Capital LP, and Ashkan Mapar is the control person of the general partner. As such, Alumni Capital LP, Alumni Capital GP LLC and Ashkan Mapar may be deemed to beneficially own (as that term is defined in Rule 13d-3 under the Securities Exchange Act of 1934) the Company’s securities. To the extent the foregoing entities and Ashkan Mapar are deemed to beneficially own such securities, each disclaims beneficial ownership of these securities except to the extent of its pecuniary interest therein. The address of Alunni Capital LP, Alumni Capital GP LLC, and Ashkan Mapar is 601 Brickell Key Dr., Suite 700, Miami, FL 33131.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January 1, 2025, we have not been a party to any transaction in which the amount involved in the transaction exceeded the lesser of $120,000 or one percent of the average of our total assets as of December 31, 2025 and 2024, and in which any of our directors, executive officers or, to our knowledge, beneficial owners of more than 5% of our voting securities or any member of the immediate family of any of the foregoing persons had or will have a direct or indirect material interest, other than compensation arrangements, which include equity and other compensation, termination, change in control and other arrangements, which are described under “Executive Compensation.” We have adopted a policy that any transactions with directors, officers, beneficial owners of five percent or more of our common stock, any immediate family members of the foregoing or entities of which any of the foregoing are also officers or directors or in which they have a financial interest, will only be on terms consistent with industry standards and approved by a majority of the disinterested directors of our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2"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300" w:before="0" w:after="160"/>
        <w:jc w:val="both"/>
        <w:rPr>
          <w:color w:val="000000"/>
        </w:rPr>
      </w:pPr>
      <w:r>
        <w:rPr>
          <w:color w:val="000000"/>
        </w:rPr>
        <w:t>    </w:t>
      </w:r>
      <w:r>
        <w:rPr>
          <w:rFonts w:ascii="Times New Roman;serif" w:hAnsi="Times New Roman;serif"/>
          <w:b w:val="false"/>
          <w:color w:val="000000"/>
          <w:sz w:val="20"/>
        </w:rPr>
        <w:t>We have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pStyle w:val="TextBody"/>
        <w:bidi w:val="0"/>
        <w:spacing w:lineRule="auto" w:line="300" w:before="0" w:after="160"/>
        <w:jc w:val="both"/>
        <w:rPr>
          <w:rFonts w:ascii="Times New Roman;serif" w:hAnsi="Times New Roman;serif"/>
          <w:b w:val="false"/>
          <w:color w:val="000000"/>
          <w:sz w:val="20"/>
        </w:rPr>
      </w:pPr>
      <w:r>
        <w:rPr>
          <w:rFonts w:ascii="Times New Roman;serif" w:hAnsi="Times New Roman;serif"/>
          <w:b w:val="false"/>
          <w:color w:val="000000"/>
          <w:sz w:val="20"/>
        </w:rPr>
        <w:t>The Delaware General Corporation Law provides that corporations may include a provision in their certificate of incorporation relieving directors of monetary liability for breach of their fiduciary duty as directors,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for unlawful payment of a dividend or unlawful stock purchase or redemption, or (iv) for any transaction from which the director derived an improper personal benefit. Our Certificate of Incorporation provides that our directors and officers are not liable to us or our stockholders for monetary damages for breach of their fiduciary duty as directors or officers except to the extent such exemption from liability or limitation thereof is not permitted under the General Corporation law of the State of Delaware. In addition to the foregoing, our Bylaws provide that we shall indemnify directors, officers, employees or agents to the fullest extent permitted by law and we have agreed to provide such indemnification to each of our executive officers and directors by way of written indemnification agreements.</w:t>
      </w:r>
    </w:p>
    <w:p>
      <w:pPr>
        <w:pStyle w:val="TextBody"/>
        <w:bidi w:val="0"/>
        <w:spacing w:lineRule="auto" w:line="30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of 1933, as amended, or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lineRule="auto" w:line="300" w:before="0" w:after="240"/>
        <w:jc w:val="left"/>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may establish the authorized number of directors from time to time by resolution. Our Board currently consists of four (4) authorized members. Pursuant to NYSE American regulations, smaller reporting companies are only required to maintain a board of directors comprised of at least 50% independent directors. Our Board has undertaken a review of its composition, the composition of its committees and the independence of each director. Our Board has determined that, other than Mr. Salva and Dr. Whitfill, by virtue of their executive officer positions, none of our director has a relationship that would interfere with the exercise of independent judgment in carrying out the responsibilities of a director and that each is “independent” as that term is defined under the applicable rules and regulations of the SEC and the listing requirements and rules of the NYSE American. In making this determination, our Board considered the current and prior relationships that each nonemployee director nominee has with our Company and all other facts and circumstances our Board deemed relevant in determining their independence, including the beneficial ownership of our capital stock by each nonemployee director nominee. Accordingly, at least 50% of our directors are independent, as required under applicable NYSE American rules, as of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68" w:before="0" w:after="160"/>
        <w:jc w:val="both"/>
        <w:rPr>
          <w:rFonts w:ascii="Times New Roman;serif" w:hAnsi="Times New Roman;serif"/>
          <w:b/>
          <w:color w:val="000000"/>
          <w:sz w:val="20"/>
        </w:rPr>
      </w:pPr>
      <w:r>
        <w:rPr>
          <w:rFonts w:ascii="Times New Roman;serif" w:hAnsi="Times New Roman;serif"/>
          <w:b/>
          <w:color w:val="000000"/>
          <w:sz w:val="20"/>
        </w:rPr>
        <w:t>Fees Incurred for Services by Principal Accountant</w:t>
      </w:r>
    </w:p>
    <w:p>
      <w:pPr>
        <w:pStyle w:val="TextBody"/>
        <w:bidi w:val="0"/>
        <w:spacing w:lineRule="auto" w:line="26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aggregate fees billed to us for services rendered to us for the years ended December 31, 2025 and 2024 by our independent registered public accounting firm, Grassi &amp; Co., CPAs, P.C.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3"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2"/>
        <w:jc w:val="left"/>
        <w:rPr/>
      </w:pPr>
      <w:r>
        <w:rPr/>
      </w:r>
    </w:p>
    <w:tbl>
      <w:tblPr>
        <w:tblW w:w="4433" w:type="dxa"/>
        <w:jc w:val="left"/>
        <w:tblInd w:w="0" w:type="dxa"/>
        <w:tblLayout w:type="fixed"/>
        <w:tblCellMar>
          <w:top w:w="28" w:type="dxa"/>
          <w:left w:w="28" w:type="dxa"/>
          <w:bottom w:w="28" w:type="dxa"/>
          <w:right w:w="28" w:type="dxa"/>
        </w:tblCellMar>
      </w:tblPr>
      <w:tblGrid>
        <w:gridCol w:w="640"/>
        <w:gridCol w:w="561"/>
        <w:gridCol w:w="568"/>
        <w:gridCol w:w="211"/>
        <w:gridCol w:w="826"/>
        <w:gridCol w:w="109"/>
        <w:gridCol w:w="109"/>
        <w:gridCol w:w="109"/>
        <w:gridCol w:w="109"/>
        <w:gridCol w:w="211"/>
        <w:gridCol w:w="82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6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Audit Fees </w:t>
            </w:r>
            <w:r>
              <w:rPr>
                <w:rFonts w:ascii="Times New Roman;serif" w:hAnsi="Times New Roman;serif"/>
                <w:b w:val="false"/>
                <w:color w:val="000000"/>
                <w:sz w:val="13"/>
              </w:rPr>
              <w:t>(A)</w:t>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264,000 </w:t>
            </w:r>
          </w:p>
        </w:tc>
        <w:tc>
          <w:tcPr>
            <w:tcW w:w="109"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245,000 </w:t>
            </w:r>
          </w:p>
        </w:tc>
        <w:tc>
          <w:tcPr>
            <w:tcW w:w="154"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Audit - Related Fees</w:t>
            </w:r>
          </w:p>
        </w:tc>
        <w:tc>
          <w:tcPr>
            <w:tcW w:w="1037"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211"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BFE4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FE4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379,000 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245,000 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6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    The audit fees consisted of fees for the audit of our financial statements, the review of the interim financial statements included in our quarterly reports on Form 10-Q, and other professional services provided in connection with the statutory and regulatory filings or engagements and capital market financings.</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Pre-Approval Policies and Procedures</w:t>
      </w:r>
    </w:p>
    <w:p>
      <w:pPr>
        <w:pStyle w:val="TextBody"/>
        <w:bidi w:val="0"/>
        <w:spacing w:before="0" w:after="2"/>
        <w:jc w:val="left"/>
        <w:rPr/>
      </w:pPr>
      <w:r>
        <w:rPr/>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has responsibility for selecting, appointing, evaluating, compensating, retaining and overseeing the work of the independent registered public accounting firm. In recognition of this responsibility, the Audit Committee has established policies and procedures in its charter regarding pre-approval of any audit and non-audit service provided to the Company by the independent registered public accounting firm and the fees and terms thereof.</w:t>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considered the compatibility of the provision of other services by its registered public accountant with the maintenance of their independence. The Audit Committee approved all audit services provided by Grassi &amp; Co. in 2025 and 2024. Grassi &amp; Co. did not perform any non-audit or tax services in 2025 or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24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(a)Financial statements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 is made to the Index and Financial Statements under Item 8 in Part II hereof where these documents are listed.</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(b)Financial statement schedules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statement schedules are either not required or the required information is included in the consolidated financial statements or notes thereto filed under Item 8 in Part II hereof.</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(c)Exhibits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exhibits to this Annual Report on Form 10-K are set forth below. The exhibit index indicates each management contract or compensatory plan or arrangement required to be filed as an exhibit.</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242"/>
        <w:gridCol w:w="1180"/>
        <w:gridCol w:w="1184"/>
        <w:gridCol w:w="109"/>
        <w:gridCol w:w="109"/>
        <w:gridCol w:w="109"/>
        <w:gridCol w:w="1551"/>
        <w:gridCol w:w="1525"/>
        <w:gridCol w:w="205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3"/>
            <w:tcBorders/>
            <w:tcMar>
              <w:top w:w="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cMar>
              <w:top w:w="0" w:type="dxa"/>
              <w:left w:w="0" w:type="dxa"/>
              <w:bottom w:w="0" w:type="dxa"/>
              <w:right w:w="0" w:type="dxa"/>
            </w:tcMar>
            <w:vAlign w:val="center"/>
          </w:tcPr>
          <w:p>
            <w:pPr>
              <w:pStyle w:val="TableContents"/>
              <w:bidi w:val="0"/>
              <w:spacing w:lineRule="auto" w:line="273" w:before="0" w:after="2"/>
              <w:jc w:val="center"/>
              <w:rPr>
                <w:rFonts w:ascii="Times New Roman;serif" w:hAnsi="Times New Roman;serif"/>
                <w:b/>
                <w:color w:val="000000"/>
                <w:sz w:val="20"/>
              </w:rPr>
            </w:pPr>
            <w:r>
              <w:rPr>
                <w:rFonts w:ascii="Times New Roman;serif" w:hAnsi="Times New Roman;serif"/>
                <w:b/>
                <w:color w:val="000000"/>
                <w:sz w:val="20"/>
              </w:rPr>
              <w:t>Method of Filing</w:t>
            </w:r>
          </w:p>
        </w:tc>
      </w:tr>
      <w:tr>
        <w:trPr/>
        <w:tc>
          <w:tcPr>
            <w:tcW w:w="81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both"/>
              <w:rPr/>
            </w:pPr>
            <w:hyperlink r:id="rId16">
              <w:r>
                <w:rPr>
                  <w:rStyle w:val="InternetLink"/>
                  <w:rFonts w:ascii="Times New Roman;serif" w:hAnsi="Times New Roman;serif"/>
                  <w:b w:val="false"/>
                  <w:color w:val="000000"/>
                  <w:sz w:val="20"/>
                  <w:u w:val="single"/>
                  <w:shd w:fill="CCEEFF" w:val="clear"/>
                </w:rPr>
                <w:t>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Current Report on Form 8-K filed on June 21, 2023.</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6"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pPr>
            <w:hyperlink r:id="rId17">
              <w:r>
                <w:rPr>
                  <w:rStyle w:val="InternetLink"/>
                  <w:rFonts w:ascii="Times New Roman;serif" w:hAnsi="Times New Roman;serif"/>
                  <w:b w:val="false"/>
                  <w:color w:val="000000"/>
                  <w:sz w:val="20"/>
                  <w:u w:val="single"/>
                </w:rPr>
                <w:t>Second Amended and Restated Bylaws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Current Report on Form 8-K filed on June 21,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4"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210"/>
        <w:gridCol w:w="185"/>
        <w:gridCol w:w="191"/>
        <w:gridCol w:w="109"/>
        <w:gridCol w:w="109"/>
        <w:gridCol w:w="109"/>
        <w:gridCol w:w="1797"/>
        <w:gridCol w:w="1753"/>
        <w:gridCol w:w="1757"/>
        <w:gridCol w:w="109"/>
        <w:gridCol w:w="109"/>
        <w:gridCol w:w="109"/>
        <w:gridCol w:w="1069"/>
        <w:gridCol w:w="1069"/>
        <w:gridCol w:w="1520"/>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r:id="rId18">
              <w:r>
                <w:rPr>
                  <w:rStyle w:val="InternetLink"/>
                  <w:rFonts w:ascii="sans-serif" w:hAnsi="sans-serif"/>
                  <w:b w:val="false"/>
                  <w:color w:val="000000"/>
                  <w:sz w:val="20"/>
                  <w:u w:val="single"/>
                </w:rPr>
                <w:t>Certificate of Amendment dated June 27, 2024 to Amended and 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Form S-3 filed on July 1, 2024.</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r:id="rId19">
              <w:r>
                <w:rPr>
                  <w:rStyle w:val="InternetLink"/>
                  <w:rFonts w:ascii="Times New Roman;serif" w:hAnsi="Times New Roman;serif"/>
                  <w:b w:val="false"/>
                  <w:color w:val="000080"/>
                  <w:sz w:val="20"/>
                  <w:u w:val="single"/>
                </w:rPr>
                <w:t>C</w:t>
              </w:r>
            </w:hyperlink>
            <w:hyperlink r:id="rId20">
              <w:r>
                <w:rPr>
                  <w:rStyle w:val="InternetLink"/>
                  <w:rFonts w:ascii="Times New Roman;serif" w:hAnsi="Times New Roman;serif"/>
                  <w:b w:val="false"/>
                  <w:color w:val="000080"/>
                  <w:sz w:val="20"/>
                  <w:u w:val="single"/>
                </w:rPr>
                <w:t>ertificate of Amendment filed with the Delaware Secretary of State on July 3,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by reference to the Company's Current Report on Form 8-K filed on July 3, 2025.</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r:id="rId21">
              <w:r>
                <w:rPr>
                  <w:rStyle w:val="InternetLink"/>
                  <w:rFonts w:ascii="Times New Roman;serif" w:hAnsi="Times New Roman;serif"/>
                  <w:b w:val="false"/>
                  <w:color w:val="000080"/>
                  <w:sz w:val="20"/>
                  <w:u w:val="single"/>
                </w:rPr>
                <w:t xml:space="preserve">Certificate of </w:t>
              </w:r>
            </w:hyperlink>
            <w:hyperlink r:id="rId22">
              <w:r>
                <w:rPr>
                  <w:rStyle w:val="InternetLink"/>
                  <w:rFonts w:ascii="Times New Roman;serif" w:hAnsi="Times New Roman;serif"/>
                  <w:b w:val="false"/>
                  <w:color w:val="000080"/>
                  <w:sz w:val="20"/>
                  <w:u w:val="single"/>
                </w:rPr>
                <w:t>Amendment to Second Amended and Restated Bylaws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3.1 to the Company's Current Report on Form 8-K filed on August 20, 2025.</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both"/>
              <w:rPr/>
            </w:pPr>
            <w:hyperlink r:id="rId23">
              <w:r>
                <w:rPr>
                  <w:rStyle w:val="InternetLink"/>
                  <w:rFonts w:ascii="Times New Roman;serif" w:hAnsi="Times New Roman;serif"/>
                  <w:b w:val="false"/>
                  <w:color w:val="000000"/>
                  <w:sz w:val="20"/>
                  <w:u w:val="single"/>
                  <w:shd w:fill="CCEEFF" w:val="clear"/>
                </w:rPr>
                <w:t>Specimen Certificate representing shares of Common Stock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Form S-1 filed on June 13, 2023.</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BFE4FF" w:val="clear"/>
            <w:tcMar>
              <w:top w:w="0" w:type="dxa"/>
              <w:left w:w="0" w:type="dxa"/>
              <w:bottom w:w="0" w:type="dxa"/>
              <w:right w:w="0" w:type="dxa"/>
            </w:tcMar>
            <w:vAlign w:val="center"/>
          </w:tcPr>
          <w:p>
            <w:pPr>
              <w:pStyle w:val="TableContents"/>
              <w:bidi w:val="0"/>
              <w:spacing w:lineRule="auto" w:line="276" w:before="0" w:after="2"/>
              <w:jc w:val="both"/>
              <w:rPr/>
            </w:pPr>
            <w:hyperlink r:id="rId24">
              <w:r>
                <w:rPr>
                  <w:rStyle w:val="InternetLink"/>
                  <w:rFonts w:ascii="Times New Roman;serif" w:hAnsi="Times New Roman;serif"/>
                  <w:b w:val="false"/>
                  <w:color w:val="000000"/>
                  <w:sz w:val="20"/>
                  <w:u w:val="single"/>
                </w:rPr>
                <w:t>Form of Warrant issued to Private Placement investors</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Form S-1 filed on June 13, 2023.</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CCEEFF" w:val="clear"/>
            <w:tcMar>
              <w:top w:w="0" w:type="dxa"/>
              <w:left w:w="0" w:type="dxa"/>
              <w:bottom w:w="0" w:type="dxa"/>
              <w:right w:w="0" w:type="dxa"/>
            </w:tcMar>
            <w:vAlign w:val="center"/>
          </w:tcPr>
          <w:p>
            <w:pPr>
              <w:pStyle w:val="TableContents"/>
              <w:bidi w:val="0"/>
              <w:spacing w:lineRule="auto" w:line="276" w:before="0" w:after="2"/>
              <w:jc w:val="both"/>
              <w:rPr/>
            </w:pPr>
            <w:hyperlink r:id="rId25">
              <w:r>
                <w:rPr>
                  <w:rStyle w:val="InternetLink"/>
                  <w:rFonts w:ascii="Times New Roman;serif" w:hAnsi="Times New Roman;serif"/>
                  <w:b w:val="false"/>
                  <w:color w:val="000000"/>
                  <w:sz w:val="20"/>
                  <w:u w:val="single"/>
                  <w:shd w:fill="CCEEFF" w:val="clear"/>
                </w:rPr>
                <w:t>Form of Representative’s Warrant dated June 20, 2023 issued to ThinkEquity LLC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Form S-1 filed on June 13, 2023.</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BFE4FF" w:val="clear"/>
            <w:tcMar>
              <w:top w:w="0" w:type="dxa"/>
              <w:left w:w="0" w:type="dxa"/>
              <w:bottom w:w="0" w:type="dxa"/>
              <w:right w:w="0" w:type="dxa"/>
            </w:tcMar>
            <w:vAlign w:val="center"/>
          </w:tcPr>
          <w:p>
            <w:pPr>
              <w:pStyle w:val="TableContents"/>
              <w:bidi w:val="0"/>
              <w:spacing w:lineRule="auto" w:line="276" w:before="0" w:after="2"/>
              <w:jc w:val="both"/>
              <w:rPr/>
            </w:pPr>
            <w:hyperlink r:id="rId26">
              <w:r>
                <w:rPr>
                  <w:rStyle w:val="InternetLink"/>
                  <w:rFonts w:ascii="Times New Roman;serif" w:hAnsi="Times New Roman;serif"/>
                  <w:b w:val="false"/>
                  <w:color w:val="000000"/>
                  <w:sz w:val="20"/>
                  <w:u w:val="single"/>
                </w:rPr>
                <w:t>Form of Representative’s Warrant dated February 16, 2024 issued to ThinkEquity LLC (attached to Underwriting Agreement between the Registrant and ThinkEquity, LLC dated February 13, 2024)</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Current Report on Form 8-K filed on February 14, 2024.</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hyperlink r:id="rId27">
              <w:r>
                <w:rPr>
                  <w:rStyle w:val="InternetLink"/>
                  <w:rFonts w:ascii="Times New Roman;serif" w:hAnsi="Times New Roman;serif"/>
                  <w:b w:val="false"/>
                  <w:color w:val="000000"/>
                  <w:sz w:val="20"/>
                  <w:u w:val="single"/>
                </w:rPr>
                <w:t>Form of Class A Warrant issued in July 2024 offering</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CCEE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Current Report on Form 8-K filed on July 26, 2024</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r:id="rId28">
              <w:r>
                <w:rPr>
                  <w:rStyle w:val="InternetLink"/>
                  <w:rFonts w:ascii="Times New Roman;serif" w:hAnsi="Times New Roman;serif"/>
                  <w:b w:val="false"/>
                  <w:color w:val="000000"/>
                  <w:sz w:val="20"/>
                  <w:u w:val="single"/>
                </w:rPr>
                <w:t>Form of Placement Agent Warrant issued to Maxim Partners, LLC</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Current Report on Form 8-K filed on July 26, 2024</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29">
              <w:r>
                <w:rPr>
                  <w:rStyle w:val="InternetLink"/>
                  <w:rFonts w:ascii="Times New Roman;serif" w:hAnsi="Times New Roman;serif"/>
                  <w:b w:val="false"/>
                  <w:color w:val="000000"/>
                  <w:sz w:val="20"/>
                  <w:u w:val="single"/>
                </w:rPr>
                <w:t>Warrant Agent Agreement dated July 25, 2024 between the Registrant and VStock Transfer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Current Report on Form 8-K filed on July 26, 2024</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r:id="rId30">
              <w:r>
                <w:rPr>
                  <w:rStyle w:val="InternetLink"/>
                  <w:rFonts w:ascii="Times New Roman;serif" w:hAnsi="Times New Roman;serif"/>
                  <w:b w:val="false"/>
                  <w:color w:val="000000"/>
                  <w:sz w:val="20"/>
                  <w:u w:val="single"/>
                </w:rPr>
                <w:t>Form of Placement Agent Warrant issued to Maxim Partners, LLC</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Current Report on Form 8-K filed on January 16, 2025</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31">
              <w:r>
                <w:rPr>
                  <w:rStyle w:val="InternetLink"/>
                  <w:rFonts w:ascii="Times New Roman;serif" w:hAnsi="Times New Roman;serif"/>
                  <w:b w:val="false"/>
                  <w:color w:val="000000"/>
                  <w:sz w:val="20"/>
                  <w:u w:val="single"/>
                </w:rPr>
                <w:t>Form of Letter Agreement Between the Registrant and investors in February 2025 Securities Offering</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Current Report on Form 8-K filed on February 6, 2025</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r:id="rId32">
              <w:r>
                <w:rPr>
                  <w:rStyle w:val="InternetLink"/>
                  <w:rFonts w:ascii="Times New Roman;serif" w:hAnsi="Times New Roman;serif"/>
                  <w:b w:val="false"/>
                  <w:color w:val="000000"/>
                  <w:sz w:val="20"/>
                  <w:u w:val="single"/>
                </w:rPr>
                <w:t>Form of Warrant issued to Investors in February 2025 Securities Offering</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Current Report on Form 8-K filed on February 6, 2025</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pPr>
            <w:hyperlink r:id="rId33">
              <w:r>
                <w:rPr>
                  <w:rStyle w:val="InternetLink"/>
                  <w:rFonts w:ascii="Times New Roman;serif" w:hAnsi="Times New Roman;serif"/>
                  <w:b w:val="false"/>
                  <w:color w:val="000000"/>
                  <w:sz w:val="20"/>
                  <w:u w:val="single"/>
                </w:rPr>
                <w:t>Description of Capital Stock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Annual Report on Form 10-K filed on March 15, 2024</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4.12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r:id="rId34">
              <w:r>
                <w:rPr>
                  <w:rStyle w:val="InternetLink"/>
                  <w:rFonts w:ascii="sans-serif" w:hAnsi="sans-serif"/>
                  <w:b w:val="false"/>
                  <w:color w:val="000080"/>
                  <w:sz w:val="20"/>
                  <w:u w:val="single"/>
                </w:rPr>
                <w:t>F</w:t>
              </w:r>
            </w:hyperlink>
            <w:hyperlink r:id="rId35">
              <w:r>
                <w:rPr>
                  <w:rStyle w:val="InternetLink"/>
                  <w:rFonts w:ascii="sans-serif" w:hAnsi="sans-serif"/>
                  <w:b w:val="false"/>
                  <w:color w:val="000080"/>
                  <w:sz w:val="20"/>
                  <w:u w:val="single"/>
                </w:rPr>
                <w:t>orm Warrant issued to Alumni Capital L.P. pursuant to the ELOC Purchase Ag</w:t>
              </w:r>
            </w:hyperlink>
            <w:hyperlink r:id="rId36">
              <w:r>
                <w:rPr>
                  <w:rStyle w:val="InternetLink"/>
                  <w:rFonts w:ascii="sans-serif" w:hAnsi="sans-serif"/>
                  <w:b w:val="false"/>
                  <w:color w:val="000080"/>
                  <w:sz w:val="20"/>
                  <w:u w:val="single"/>
                </w:rPr>
                <w:t>r</w:t>
              </w:r>
            </w:hyperlink>
            <w:hyperlink r:id="rId37">
              <w:r>
                <w:rPr>
                  <w:rStyle w:val="InternetLink"/>
                  <w:rFonts w:ascii="sans-serif" w:hAnsi="sans-serif"/>
                  <w:b w:val="false"/>
                  <w:color w:val="000080"/>
                  <w:sz w:val="20"/>
                  <w:u w:val="single"/>
                </w:rPr>
                <w:t>ee</w:t>
              </w:r>
            </w:hyperlink>
            <w:hyperlink r:id="rId38">
              <w:r>
                <w:rPr>
                  <w:rStyle w:val="InternetLink"/>
                  <w:rFonts w:ascii="sans-serif" w:hAnsi="sans-serif"/>
                  <w:b w:val="false"/>
                  <w:color w:val="000080"/>
                  <w:sz w:val="20"/>
                  <w:u w:val="single"/>
                </w:rPr>
                <w:t>ment</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4.1 to the Company’s Current Report on Form 8-K filed on April 24, 2025</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39">
              <w:r>
                <w:rPr>
                  <w:rStyle w:val="InternetLink"/>
                  <w:rFonts w:ascii="sans-serif" w:hAnsi="sans-serif"/>
                  <w:b w:val="false"/>
                  <w:color w:val="000080"/>
                  <w:sz w:val="20"/>
                  <w:u w:val="single"/>
                </w:rPr>
                <w:t>F</w:t>
              </w:r>
            </w:hyperlink>
            <w:hyperlink r:id="rId40">
              <w:r>
                <w:rPr>
                  <w:rStyle w:val="InternetLink"/>
                  <w:rFonts w:ascii="sans-serif" w:hAnsi="sans-serif"/>
                  <w:b w:val="false"/>
                  <w:color w:val="000080"/>
                  <w:sz w:val="20"/>
                  <w:u w:val="single"/>
                </w:rPr>
                <w:t>orm of Pre-Funded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4.1 to the Company’s Current Report on Form 8-K filed on November 25, 2025</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4.14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r:id="rId41">
              <w:r>
                <w:rPr>
                  <w:rStyle w:val="InternetLink"/>
                  <w:rFonts w:ascii="sans-serif" w:hAnsi="sans-serif"/>
                  <w:b w:val="false"/>
                  <w:color w:val="000080"/>
                  <w:sz w:val="20"/>
                  <w:u w:val="single"/>
                </w:rPr>
                <w:t>F</w:t>
              </w:r>
            </w:hyperlink>
            <w:hyperlink r:id="rId42">
              <w:r>
                <w:rPr>
                  <w:rStyle w:val="InternetLink"/>
                  <w:rFonts w:ascii="sans-serif" w:hAnsi="sans-serif"/>
                  <w:b w:val="false"/>
                  <w:color w:val="000080"/>
                  <w:sz w:val="20"/>
                  <w:u w:val="single"/>
                </w:rPr>
                <w:t>orm of Common Stock Purchase Warrant</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Company’s Current Report on Form 8-K filed on November 25, 2025</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43">
              <w:r>
                <w:rPr>
                  <w:rStyle w:val="InternetLink"/>
                  <w:rFonts w:ascii="sans-serif" w:hAnsi="sans-serif"/>
                  <w:b w:val="false"/>
                  <w:color w:val="000080"/>
                  <w:sz w:val="20"/>
                  <w:u w:val="single"/>
                </w:rPr>
                <w:t>F</w:t>
              </w:r>
            </w:hyperlink>
            <w:hyperlink r:id="rId44">
              <w:r>
                <w:rPr>
                  <w:rStyle w:val="InternetLink"/>
                  <w:rFonts w:ascii="sans-serif" w:hAnsi="sans-serif"/>
                  <w:b w:val="false"/>
                  <w:color w:val="000080"/>
                  <w:sz w:val="20"/>
                  <w:u w:val="single"/>
                </w:rPr>
                <w:t>orm of Placement Agent Warrant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Company’s Current Report on Form 8-K filed on November 25, 2025</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4.16+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r:id="rId45">
              <w:r>
                <w:rPr>
                  <w:rStyle w:val="InternetLink"/>
                  <w:rFonts w:ascii="sans-serif" w:hAnsi="sans-serif"/>
                  <w:b w:val="false"/>
                  <w:color w:val="000080"/>
                  <w:sz w:val="20"/>
                  <w:u w:val="single"/>
                </w:rPr>
                <w:t>A</w:t>
              </w:r>
            </w:hyperlink>
            <w:hyperlink r:id="rId46">
              <w:r>
                <w:rPr>
                  <w:rStyle w:val="InternetLink"/>
                  <w:rFonts w:ascii="sans-serif" w:hAnsi="sans-serif"/>
                  <w:b w:val="false"/>
                  <w:color w:val="000080"/>
                  <w:sz w:val="20"/>
                  <w:u w:val="single"/>
                </w:rPr>
                <w:t>mendment No. 1 to Azitra, Inc. 2023 Stock Incentive Plan</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4.2 to the Company’s Registration Statement on Form S-8 filed on December 1, 2025</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pPr>
            <w:hyperlink r:id="rId47">
              <w:r>
                <w:rPr>
                  <w:rStyle w:val="InternetLink"/>
                  <w:rFonts w:ascii="Times New Roman;serif" w:hAnsi="Times New Roman;serif"/>
                  <w:b w:val="false"/>
                  <w:color w:val="000000"/>
                  <w:sz w:val="20"/>
                  <w:u w:val="single"/>
                </w:rPr>
                <w:t>Azitra Inc. 2016 Stock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Form S-1 filed on June 13, 2023.</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3"/>
            <w:tcBorders/>
            <w:shd w:fill="BFE4FF" w:val="clear"/>
            <w:tcMar>
              <w:top w:w="0" w:type="dxa"/>
              <w:left w:w="0" w:type="dxa"/>
              <w:bottom w:w="0" w:type="dxa"/>
              <w:right w:w="0" w:type="dxa"/>
            </w:tcMar>
            <w:vAlign w:val="center"/>
          </w:tcPr>
          <w:p>
            <w:pPr>
              <w:pStyle w:val="TableContents"/>
              <w:bidi w:val="0"/>
              <w:spacing w:lineRule="auto" w:line="276" w:before="0" w:after="2"/>
              <w:jc w:val="both"/>
              <w:rPr/>
            </w:pPr>
            <w:hyperlink r:id="rId48">
              <w:r>
                <w:rPr>
                  <w:rStyle w:val="InternetLink"/>
                  <w:rFonts w:ascii="Times New Roman;serif" w:hAnsi="Times New Roman;serif"/>
                  <w:b w:val="false"/>
                  <w:color w:val="000000"/>
                  <w:sz w:val="20"/>
                  <w:u w:val="single"/>
                  <w:shd w:fill="CCEEFF" w:val="clear"/>
                </w:rPr>
                <w:t>Azitra Inc. 2023 Stock Incentive Plan</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8"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Form S-1 filed on June 13,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5"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1716"/>
        <w:gridCol w:w="1562"/>
        <w:gridCol w:w="1567"/>
        <w:gridCol w:w="109"/>
        <w:gridCol w:w="109"/>
        <w:gridCol w:w="109"/>
        <w:gridCol w:w="1248"/>
        <w:gridCol w:w="1186"/>
        <w:gridCol w:w="168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pPr>
            <w:hyperlink r:id="rId49">
              <w:r>
                <w:rPr>
                  <w:rStyle w:val="InternetLink"/>
                  <w:rFonts w:ascii="Times New Roman;serif" w:hAnsi="Times New Roman;serif"/>
                  <w:b w:val="false"/>
                  <w:color w:val="000000"/>
                  <w:sz w:val="20"/>
                  <w:u w:val="single"/>
                </w:rPr>
                <w:t>Executive Employment Agreement dated April 22, 2021 between the Registrant and Francisco D. Salva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Form S-1 filed on June 13, 2023.</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BFE4FF" w:val="clear"/>
            <w:tcMar>
              <w:top w:w="0" w:type="dxa"/>
              <w:left w:w="0" w:type="dxa"/>
              <w:bottom w:w="0" w:type="dxa"/>
              <w:right w:w="0" w:type="dxa"/>
            </w:tcMar>
            <w:vAlign w:val="center"/>
          </w:tcPr>
          <w:p>
            <w:pPr>
              <w:pStyle w:val="TableContents"/>
              <w:bidi w:val="0"/>
              <w:spacing w:lineRule="auto" w:line="276" w:before="0" w:after="2"/>
              <w:jc w:val="both"/>
              <w:rPr/>
            </w:pPr>
            <w:hyperlink r:id="rId50">
              <w:r>
                <w:rPr>
                  <w:rStyle w:val="InternetLink"/>
                  <w:rFonts w:ascii="Times New Roman;serif" w:hAnsi="Times New Roman;serif"/>
                  <w:b w:val="false"/>
                  <w:color w:val="000000"/>
                  <w:sz w:val="20"/>
                  <w:u w:val="single"/>
                  <w:shd w:fill="CCEEFF" w:val="clear"/>
                </w:rPr>
                <w:t>Executive Employment Agreement dated July 5, 2023 between the Registrant and Travis Whitfill</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Form S-1 filed on January 19, 2024.</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pPr>
            <w:hyperlink r:id="rId51">
              <w:r>
                <w:rPr>
                  <w:rStyle w:val="InternetLink"/>
                  <w:rFonts w:ascii="Times New Roman;serif" w:hAnsi="Times New Roman;serif"/>
                  <w:b w:val="false"/>
                  <w:color w:val="000000"/>
                  <w:sz w:val="20"/>
                  <w:u w:val="single"/>
                </w:rPr>
                <w:t>Form of Indemnity Agreement between the Registrant and each of its directors and executive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Form S-1 filed on June 13, 2023.</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BFE4FF" w:val="clear"/>
            <w:tcMar>
              <w:top w:w="0" w:type="dxa"/>
              <w:left w:w="0" w:type="dxa"/>
              <w:bottom w:w="0" w:type="dxa"/>
              <w:right w:w="0" w:type="dxa"/>
            </w:tcMar>
            <w:vAlign w:val="center"/>
          </w:tcPr>
          <w:p>
            <w:pPr>
              <w:pStyle w:val="TableContents"/>
              <w:bidi w:val="0"/>
              <w:spacing w:lineRule="auto" w:line="276" w:before="0" w:after="2"/>
              <w:jc w:val="both"/>
              <w:rPr/>
            </w:pPr>
            <w:hyperlink r:id="rId52">
              <w:r>
                <w:rPr>
                  <w:rStyle w:val="InternetLink"/>
                  <w:rFonts w:ascii="Times New Roman;serif" w:hAnsi="Times New Roman;serif"/>
                  <w:b w:val="false"/>
                  <w:color w:val="000000"/>
                  <w:sz w:val="20"/>
                  <w:u w:val="single"/>
                </w:rPr>
                <w:t>Second Amended and Restated Investors’ Rights Agreement dated September 10, 2020 between the Registrant and each of the investors named therein</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Form S-1 filed on June 13,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Form</w:t>
            </w:r>
            <w:hyperlink r:id="rId53">
              <w:r>
                <w:rPr>
                  <w:rStyle w:val="InternetLink"/>
                  <w:color w:val="000000"/>
                  <w:u w:val="single"/>
                </w:rPr>
                <w:t xml:space="preserve"> </w:t>
              </w:r>
            </w:hyperlink>
            <w:hyperlink r:id="rId54">
              <w:r>
                <w:rPr>
                  <w:rStyle w:val="InternetLink"/>
                  <w:rFonts w:ascii="Times New Roman;serif" w:hAnsi="Times New Roman;serif"/>
                  <w:b w:val="false"/>
                  <w:color w:val="000000"/>
                  <w:sz w:val="20"/>
                  <w:u w:val="single"/>
                </w:rPr>
                <w:t>of Securities Purchase Agreement between the Company and Maxim Group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10.1 to the Company’s Current Report on Form 8-K filed on July 26, 2024</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r:id="rId55">
              <w:r>
                <w:rPr>
                  <w:rStyle w:val="InternetLink"/>
                  <w:rFonts w:ascii="Times New Roman;serif" w:hAnsi="Times New Roman;serif"/>
                  <w:b w:val="false"/>
                  <w:color w:val="000080"/>
                  <w:sz w:val="20"/>
                  <w:u w:val="single"/>
                </w:rPr>
                <w:t>P</w:t>
              </w:r>
            </w:hyperlink>
            <w:hyperlink r:id="rId56">
              <w:r>
                <w:rPr>
                  <w:rStyle w:val="InternetLink"/>
                  <w:rFonts w:ascii="Times New Roman;serif" w:hAnsi="Times New Roman;serif"/>
                  <w:b w:val="false"/>
                  <w:color w:val="000080"/>
                  <w:sz w:val="20"/>
                  <w:u w:val="single"/>
                </w:rPr>
                <w:t>lacement Agency Agreement</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10.1 to the Company’s Current Report on Form 8-K filed on January 16, 2025</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F</w:t>
            </w:r>
            <w:hyperlink r:id="rId57">
              <w:r>
                <w:rPr>
                  <w:rStyle w:val="InternetLink"/>
                  <w:rFonts w:ascii="Times New Roman;serif" w:hAnsi="Times New Roman;serif"/>
                  <w:b w:val="false"/>
                  <w:color w:val="000000"/>
                  <w:sz w:val="20"/>
                  <w:u w:val="single"/>
                </w:rPr>
                <w:t>orm of Securities Purchase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10.2 to the Company’s Current Report on Form 8-K filed on January 16, 2025</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r:id="rId58">
              <w:r>
                <w:rPr>
                  <w:rStyle w:val="InternetLink"/>
                  <w:rFonts w:ascii="Times New Roman;serif" w:hAnsi="Times New Roman;serif"/>
                  <w:b w:val="false"/>
                  <w:color w:val="000080"/>
                  <w:sz w:val="20"/>
                  <w:u w:val="single"/>
                </w:rPr>
                <w:t>P</w:t>
              </w:r>
            </w:hyperlink>
            <w:hyperlink r:id="rId59">
              <w:r>
                <w:rPr>
                  <w:rStyle w:val="InternetLink"/>
                  <w:rFonts w:ascii="Times New Roman;serif" w:hAnsi="Times New Roman;serif"/>
                  <w:b w:val="false"/>
                  <w:color w:val="000080"/>
                  <w:sz w:val="20"/>
                  <w:u w:val="single"/>
                </w:rPr>
                <w:t>lacement Agency Agreement</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10.1 to the Company’s Current Report on Form 8-K filed on February 6, 2025</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60">
              <w:r>
                <w:rPr>
                  <w:rStyle w:val="InternetLink"/>
                  <w:rFonts w:ascii="Times New Roman;serif" w:hAnsi="Times New Roman;serif"/>
                  <w:b w:val="false"/>
                  <w:color w:val="000080"/>
                  <w:sz w:val="20"/>
                  <w:u w:val="single"/>
                </w:rPr>
                <w:t>F</w:t>
              </w:r>
            </w:hyperlink>
            <w:hyperlink r:id="rId61">
              <w:r>
                <w:rPr>
                  <w:rStyle w:val="InternetLink"/>
                  <w:rFonts w:ascii="Times New Roman;serif" w:hAnsi="Times New Roman;serif"/>
                  <w:b w:val="false"/>
                  <w:color w:val="000080"/>
                  <w:sz w:val="20"/>
                  <w:u w:val="single"/>
                </w:rPr>
                <w:t>orm of Amended and Restated Securities Purchase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10.2 to the Company’s Current Report on Form 8-K filed on February 6, 2025</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r:id="rId62">
              <w:r>
                <w:rPr>
                  <w:rStyle w:val="InternetLink"/>
                  <w:rFonts w:ascii="Times New Roman;serif" w:hAnsi="Times New Roman;serif"/>
                  <w:b w:val="false"/>
                  <w:color w:val="000080"/>
                  <w:sz w:val="20"/>
                  <w:u w:val="single"/>
                </w:rPr>
                <w:t>F</w:t>
              </w:r>
            </w:hyperlink>
            <w:hyperlink r:id="rId63">
              <w:r>
                <w:rPr>
                  <w:rStyle w:val="InternetLink"/>
                  <w:rFonts w:ascii="Times New Roman;serif" w:hAnsi="Times New Roman;serif"/>
                  <w:b w:val="false"/>
                  <w:color w:val="000080"/>
                  <w:sz w:val="20"/>
                  <w:u w:val="single"/>
                </w:rPr>
                <w:t xml:space="preserve">orm of </w:t>
              </w:r>
            </w:hyperlink>
            <w:hyperlink r:id="rId64">
              <w:r>
                <w:rPr>
                  <w:rStyle w:val="InternetLink"/>
                  <w:rFonts w:ascii="Times New Roman;serif" w:hAnsi="Times New Roman;serif"/>
                  <w:b w:val="false"/>
                  <w:color w:val="000080"/>
                  <w:sz w:val="20"/>
                  <w:u w:val="single"/>
                </w:rPr>
                <w:t>Securities Purchase Agreement</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10.1 to the Company’s Current Report on Form 8-K filed on April 24, 2025</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65">
              <w:r>
                <w:rPr>
                  <w:rStyle w:val="InternetLink"/>
                  <w:rFonts w:ascii="Times New Roman;serif" w:hAnsi="Times New Roman;serif"/>
                  <w:b w:val="false"/>
                  <w:color w:val="000080"/>
                  <w:sz w:val="20"/>
                  <w:u w:val="single"/>
                </w:rPr>
                <w:t>M</w:t>
              </w:r>
            </w:hyperlink>
            <w:hyperlink r:id="rId66">
              <w:r>
                <w:rPr>
                  <w:rStyle w:val="InternetLink"/>
                  <w:rFonts w:ascii="Times New Roman;serif" w:hAnsi="Times New Roman;serif"/>
                  <w:b w:val="false"/>
                  <w:color w:val="000080"/>
                  <w:sz w:val="20"/>
                  <w:u w:val="single"/>
                </w:rPr>
                <w:t>odification Agreement, dated August 26, 2025 by and between Azitra, Inc. and Alumni Capital 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10.1 to the Company’s Current Report on Form 8-K filed on August 29, 2025</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r:id="rId67">
              <w:r>
                <w:rPr>
                  <w:rStyle w:val="InternetLink"/>
                  <w:rFonts w:ascii="Times New Roman;serif" w:hAnsi="Times New Roman;serif"/>
                  <w:b w:val="false"/>
                  <w:color w:val="000080"/>
                  <w:sz w:val="20"/>
                  <w:u w:val="single"/>
                </w:rPr>
                <w:t>F</w:t>
              </w:r>
            </w:hyperlink>
            <w:hyperlink r:id="rId68">
              <w:r>
                <w:rPr>
                  <w:rStyle w:val="InternetLink"/>
                  <w:rFonts w:ascii="Times New Roman;serif" w:hAnsi="Times New Roman;serif"/>
                  <w:b w:val="false"/>
                  <w:color w:val="000080"/>
                  <w:sz w:val="20"/>
                  <w:u w:val="single"/>
                </w:rPr>
                <w:t>orm of Securitie</w:t>
              </w:r>
            </w:hyperlink>
            <w:hyperlink r:id="rId69">
              <w:r>
                <w:rPr>
                  <w:rStyle w:val="InternetLink"/>
                  <w:rFonts w:ascii="Times New Roman;serif" w:hAnsi="Times New Roman;serif"/>
                  <w:b w:val="false"/>
                  <w:color w:val="000080"/>
                  <w:sz w:val="20"/>
                  <w:u w:val="single"/>
                </w:rPr>
                <w:t>s Purchase Agreement</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10.1 to the Company’s Current Report on Form 8-K filed on November 25, 2025</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70">
              <w:r>
                <w:rPr>
                  <w:rStyle w:val="InternetLink"/>
                  <w:rFonts w:ascii="Times New Roman;serif" w:hAnsi="Times New Roman;serif"/>
                  <w:b w:val="false"/>
                  <w:color w:val="000080"/>
                  <w:sz w:val="20"/>
                  <w:u w:val="single"/>
                </w:rPr>
                <w:t>P</w:t>
              </w:r>
            </w:hyperlink>
            <w:hyperlink r:id="rId71">
              <w:r>
                <w:rPr>
                  <w:rStyle w:val="InternetLink"/>
                  <w:rFonts w:ascii="Times New Roman;serif" w:hAnsi="Times New Roman;serif"/>
                  <w:b w:val="false"/>
                  <w:color w:val="000080"/>
                  <w:sz w:val="20"/>
                  <w:u w:val="single"/>
                </w:rPr>
                <w:t>lacement Agency Agreement</w:t>
              </w:r>
            </w:hyperlink>
            <w:hyperlink r:id="rId72">
              <w:r>
                <w:rPr>
                  <w:rStyle w:val="InternetLink"/>
                  <w:rFonts w:ascii="Times New Roman;serif" w:hAnsi="Times New Roman;serif"/>
                  <w:b w:val="false"/>
                  <w:color w:val="000080"/>
                  <w:sz w:val="20"/>
                  <w:u w:val="single"/>
                </w:rPr>
                <w:t xml:space="preserve">, dated </w:t>
              </w:r>
            </w:hyperlink>
            <w:hyperlink r:id="rId73">
              <w:r>
                <w:rPr>
                  <w:rStyle w:val="InternetLink"/>
                  <w:rFonts w:ascii="Times New Roman;serif" w:hAnsi="Times New Roman;serif"/>
                  <w:b w:val="false"/>
                  <w:color w:val="000080"/>
                  <w:sz w:val="20"/>
                  <w:u w:val="single"/>
                </w:rPr>
                <w:t>November</w:t>
              </w:r>
            </w:hyperlink>
            <w:hyperlink r:id="rId74">
              <w:r>
                <w:rPr>
                  <w:rStyle w:val="InternetLink"/>
                  <w:rFonts w:ascii="Times New Roman;serif" w:hAnsi="Times New Roman;serif"/>
                  <w:b w:val="false"/>
                  <w:color w:val="000080"/>
                  <w:sz w:val="20"/>
                  <w:u w:val="single"/>
                </w:rPr>
                <w:t xml:space="preserve"> 24, 2025, by and among the Company and Maxim Group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Incorporated herein by reference to Exhibit 10.2 to the Company’s Current Report on Form 8-K filed on November 25, 2025 </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BFE4FF" w:val="clear"/>
            <w:tcMar>
              <w:top w:w="0" w:type="dxa"/>
              <w:left w:w="0" w:type="dxa"/>
              <w:bottom w:w="0" w:type="dxa"/>
              <w:right w:w="0" w:type="dxa"/>
            </w:tcMar>
            <w:vAlign w:val="center"/>
          </w:tcPr>
          <w:p>
            <w:pPr>
              <w:pStyle w:val="TableContents"/>
              <w:bidi w:val="0"/>
              <w:spacing w:lineRule="auto" w:line="300" w:before="0" w:after="2"/>
              <w:jc w:val="left"/>
              <w:rPr/>
            </w:pPr>
            <w:hyperlink r:id="rId75">
              <w:r>
                <w:rPr>
                  <w:rStyle w:val="InternetLink"/>
                  <w:rFonts w:ascii="Times New Roman;serif" w:hAnsi="Times New Roman;serif"/>
                  <w:b w:val="false"/>
                  <w:color w:val="000080"/>
                  <w:sz w:val="20"/>
                  <w:u w:val="single"/>
                </w:rPr>
                <w:t>F</w:t>
              </w:r>
            </w:hyperlink>
            <w:hyperlink r:id="rId76">
              <w:r>
                <w:rPr>
                  <w:rStyle w:val="InternetLink"/>
                  <w:rFonts w:ascii="Times New Roman;serif" w:hAnsi="Times New Roman;serif"/>
                  <w:b w:val="false"/>
                  <w:color w:val="000080"/>
                  <w:sz w:val="20"/>
                  <w:u w:val="single"/>
                </w:rPr>
                <w:t>orm of Registration Rights Agreement</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Exhibit 10.3 to the Company’s Current Report on Form 8-K filed on November 25, 2025</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hyperlink r:id="rId77">
              <w:r>
                <w:rPr>
                  <w:rStyle w:val="InternetLink"/>
                  <w:rFonts w:ascii="Times New Roman;serif" w:hAnsi="Times New Roman;serif"/>
                  <w:b w:val="false"/>
                  <w:color w:val="000000"/>
                  <w:sz w:val="20"/>
                  <w:u w:val="single"/>
                </w:rPr>
                <w:t>Azitra, Inc. Insider Trading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Annual Report on Form 10-K filed on February 24, 2025</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BFE4FF" w:val="clear"/>
            <w:tcMar>
              <w:top w:w="0" w:type="dxa"/>
              <w:left w:w="0" w:type="dxa"/>
              <w:bottom w:w="0" w:type="dxa"/>
              <w:right w:w="0" w:type="dxa"/>
            </w:tcMar>
            <w:vAlign w:val="center"/>
          </w:tcPr>
          <w:p>
            <w:pPr>
              <w:pStyle w:val="TableContents"/>
              <w:bidi w:val="0"/>
              <w:spacing w:lineRule="auto" w:line="276" w:before="0" w:after="2"/>
              <w:jc w:val="both"/>
              <w:rPr/>
            </w:pPr>
            <w:hyperlink r:id="rId78">
              <w:r>
                <w:rPr>
                  <w:rStyle w:val="InternetLink"/>
                  <w:rFonts w:ascii="Times New Roman;serif" w:hAnsi="Times New Roman;serif"/>
                  <w:b w:val="false"/>
                  <w:color w:val="000000"/>
                  <w:sz w:val="20"/>
                  <w:u w:val="single"/>
                </w:rPr>
                <w:t>List of Subsidiaries of the Registrant</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Form S-1 filed on March 20, 2023.</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pPr>
            <w:hyperlink w:anchor="aztr-20251231xexx232.htm">
              <w:r>
                <w:rPr>
                  <w:rStyle w:val="InternetLink"/>
                  <w:rFonts w:ascii="Times New Roman;serif" w:hAnsi="Times New Roman;serif"/>
                  <w:b w:val="false"/>
                  <w:color w:val="0000FF"/>
                  <w:sz w:val="20"/>
                  <w:u w:val="single"/>
                </w:rPr>
                <w:t>Consent of Grassi &amp; Co., CPAs, P.C.,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r>
        <w:trPr/>
        <w:tc>
          <w:tcPr>
            <w:tcW w:w="58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BFE4FF" w:val="clear"/>
            <w:tcMar>
              <w:top w:w="0" w:type="dxa"/>
              <w:left w:w="0" w:type="dxa"/>
              <w:bottom w:w="0" w:type="dxa"/>
              <w:right w:w="0" w:type="dxa"/>
            </w:tcMar>
            <w:vAlign w:val="center"/>
          </w:tcPr>
          <w:p>
            <w:pPr>
              <w:pStyle w:val="TableContents"/>
              <w:bidi w:val="0"/>
              <w:spacing w:lineRule="auto" w:line="276" w:before="0" w:after="2"/>
              <w:jc w:val="both"/>
              <w:rPr/>
            </w:pPr>
            <w:hyperlink w:anchor="aztr-20251231xexx311.htm">
              <w:r>
                <w:rPr>
                  <w:rStyle w:val="InternetLink"/>
                  <w:rFonts w:ascii="Times New Roman;serif" w:hAnsi="Times New Roman;serif"/>
                  <w:b w:val="false"/>
                  <w:color w:val="000000"/>
                  <w:sz w:val="20"/>
                  <w:u w:val="single"/>
                </w:rPr>
                <w:t>Certification under Section 302 of the Sarbanes-Oxley Act of 2002</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pPr>
            <w:hyperlink w:anchor="aztr-20251231xexx312.htm">
              <w:r>
                <w:rPr>
                  <w:rStyle w:val="InternetLink"/>
                  <w:rFonts w:ascii="Times New Roman;serif" w:hAnsi="Times New Roman;serif"/>
                  <w:b w:val="false"/>
                  <w:color w:val="000000"/>
                  <w:sz w:val="20"/>
                  <w:u w:val="single"/>
                </w:rPr>
                <w:t>Certification under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6"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294"/>
        <w:gridCol w:w="207"/>
        <w:gridCol w:w="208"/>
        <w:gridCol w:w="109"/>
        <w:gridCol w:w="109"/>
        <w:gridCol w:w="109"/>
        <w:gridCol w:w="1431"/>
        <w:gridCol w:w="1431"/>
        <w:gridCol w:w="1434"/>
        <w:gridCol w:w="109"/>
        <w:gridCol w:w="109"/>
        <w:gridCol w:w="109"/>
        <w:gridCol w:w="1327"/>
        <w:gridCol w:w="1327"/>
        <w:gridCol w:w="1892"/>
      </w:tblGrid>
      <w:tr>
        <w:trPr/>
        <w:tc>
          <w:tcPr>
            <w:tcW w:w="29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709"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3"/>
            <w:tcBorders/>
            <w:shd w:fill="BFE4FF" w:val="clear"/>
            <w:tcMar>
              <w:top w:w="0" w:type="dxa"/>
              <w:left w:w="0" w:type="dxa"/>
              <w:bottom w:w="0" w:type="dxa"/>
              <w:right w:w="0" w:type="dxa"/>
            </w:tcMar>
            <w:vAlign w:val="center"/>
          </w:tcPr>
          <w:p>
            <w:pPr>
              <w:pStyle w:val="TableContents"/>
              <w:bidi w:val="0"/>
              <w:spacing w:lineRule="auto" w:line="276" w:before="0" w:after="2"/>
              <w:jc w:val="both"/>
              <w:rPr/>
            </w:pPr>
            <w:hyperlink w:anchor="aztr-20251231xexx321.htm">
              <w:r>
                <w:rPr>
                  <w:rStyle w:val="InternetLink"/>
                  <w:rFonts w:ascii="Times New Roman;serif" w:hAnsi="Times New Roman;serif"/>
                  <w:b w:val="false"/>
                  <w:color w:val="000000"/>
                  <w:sz w:val="20"/>
                  <w:u w:val="single"/>
                </w:rPr>
                <w:t>Certifications Pursuant to Section 906 of the Sarbanes-Oxley Act of 2002, 18 U.S.C. Section 1350</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pPr>
            <w:hyperlink r:id="rId79">
              <w:r>
                <w:rPr>
                  <w:rStyle w:val="InternetLink"/>
                  <w:rFonts w:ascii="Times New Roman;serif" w:hAnsi="Times New Roman;serif"/>
                  <w:b w:val="false"/>
                  <w:color w:val="000000"/>
                  <w:sz w:val="20"/>
                  <w:u w:val="single"/>
                </w:rPr>
                <w:t>Azitra, Inc. Executive Officer Clawback Policy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Incorporated herein by reference to the Company's Annual Report on Form 10-K filed on March 15, 2024.</w:t>
            </w:r>
          </w:p>
        </w:tc>
      </w:tr>
      <w:tr>
        <w:trPr/>
        <w:tc>
          <w:tcPr>
            <w:tcW w:w="709"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3"/>
            <w:tcBorders/>
            <w:shd w:fill="BFE4FF" w:val="clear"/>
            <w:tcMar>
              <w:top w:w="0" w:type="dxa"/>
              <w:left w:w="0" w:type="dxa"/>
              <w:bottom w:w="0" w:type="dxa"/>
              <w:right w:w="0" w:type="dxa"/>
            </w:tcMar>
            <w:vAlign w:val="center"/>
          </w:tcPr>
          <w:p>
            <w:pPr>
              <w:pStyle w:val="TableContents"/>
              <w:bidi w:val="0"/>
              <w:spacing w:lineRule="auto" w:line="276" w:before="0" w:after="2"/>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r>
        <w:trPr/>
        <w:tc>
          <w:tcPr>
            <w:tcW w:w="709"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3"/>
            <w:tcBorders/>
            <w:shd w:fill="BFE4FF" w:val="clear"/>
            <w:tcMar>
              <w:top w:w="0" w:type="dxa"/>
              <w:left w:w="0" w:type="dxa"/>
              <w:bottom w:w="0" w:type="dxa"/>
              <w:right w:w="0" w:type="dxa"/>
            </w:tcMar>
            <w:vAlign w:val="center"/>
          </w:tcPr>
          <w:p>
            <w:pPr>
              <w:pStyle w:val="TableContents"/>
              <w:bidi w:val="0"/>
              <w:spacing w:lineRule="auto" w:line="276" w:before="0" w:after="2"/>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r>
        <w:trPr/>
        <w:tc>
          <w:tcPr>
            <w:tcW w:w="709"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3"/>
            <w:tcBorders/>
            <w:shd w:fill="BFE4FF" w:val="clear"/>
            <w:tcMar>
              <w:top w:w="0" w:type="dxa"/>
              <w:left w:w="0" w:type="dxa"/>
              <w:bottom w:w="0" w:type="dxa"/>
              <w:right w:w="0" w:type="dxa"/>
            </w:tcMar>
            <w:vAlign w:val="center"/>
          </w:tcPr>
          <w:p>
            <w:pPr>
              <w:pStyle w:val="TableContents"/>
              <w:bidi w:val="0"/>
              <w:spacing w:lineRule="auto" w:line="276" w:before="0" w:after="2"/>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r>
        <w:trPr/>
        <w:tc>
          <w:tcPr>
            <w:tcW w:w="709"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3"/>
            <w:tcBorders/>
            <w:shd w:fill="FFFFFF" w:val="clear"/>
            <w:tcMar>
              <w:top w:w="0" w:type="dxa"/>
              <w:left w:w="0" w:type="dxa"/>
              <w:bottom w:w="0" w:type="dxa"/>
              <w:right w:w="0" w:type="dxa"/>
            </w:tcMar>
            <w:vAlign w:val="center"/>
          </w:tcPr>
          <w:p>
            <w:pPr>
              <w:pStyle w:val="TableContents"/>
              <w:bidi w:val="0"/>
              <w:spacing w:lineRule="auto" w:line="276" w:before="0" w:after="2"/>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FFFF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r>
        <w:trPr/>
        <w:tc>
          <w:tcPr>
            <w:tcW w:w="709"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104.0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3"/>
            <w:tcBorders/>
            <w:shd w:fill="BFE4FF" w:val="clear"/>
            <w:tcMar>
              <w:top w:w="0" w:type="dxa"/>
              <w:left w:w="0" w:type="dxa"/>
              <w:bottom w:w="0" w:type="dxa"/>
              <w:right w:w="0" w:type="dxa"/>
            </w:tcMar>
            <w:vAlign w:val="center"/>
          </w:tcPr>
          <w:p>
            <w:pPr>
              <w:pStyle w:val="TableContents"/>
              <w:bidi w:val="0"/>
              <w:spacing w:lineRule="auto" w:line="276"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gridSpan w:val="3"/>
            <w:tcBorders/>
            <w:shd w:fill="BFE4FF" w:val="clear"/>
            <w:tcMar>
              <w:top w:w="0" w:type="dxa"/>
              <w:left w:w="0" w:type="dxa"/>
              <w:bottom w:w="0" w:type="dxa"/>
              <w:right w:w="0" w:type="dxa"/>
            </w:tcMar>
            <w:vAlign w:val="center"/>
          </w:tcPr>
          <w:p>
            <w:pPr>
              <w:pStyle w:val="TableContents"/>
              <w:bidi w:val="0"/>
              <w:spacing w:lineRule="auto" w:line="273" w:before="0" w:after="2"/>
              <w:jc w:val="both"/>
              <w:rPr>
                <w:rFonts w:ascii="Times New Roman;serif" w:hAnsi="Times New Roman;serif"/>
                <w:b w:val="false"/>
                <w:color w:val="000000"/>
                <w:sz w:val="20"/>
              </w:rPr>
            </w:pPr>
            <w:r>
              <w:rPr>
                <w:rFonts w:ascii="Times New Roman;serif" w:hAnsi="Times New Roman;serif"/>
                <w:b w:val="false"/>
                <w:color w:val="000000"/>
                <w:sz w:val="20"/>
              </w:rPr>
              <w:t>Filed electronically herewith</w:t>
            </w:r>
          </w:p>
        </w:tc>
      </w:tr>
    </w:tbl>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Indicates management compensatory plan, contract or arrangement.</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 In accordance with Item 601(b)(32)(ii) of Regulation S-K and SEC Release Nos. 33-8238 and 34-47986, Final Rule: Management’s Reports on Internal Control Over Financial Reporting and Certification of Disclosure in Exchange Act Periodic Reports, the certifications furnished in Exhibit 32.1 and 32.2 hereto is deemed to accompany this Annual Report on Form 10-K and will not be deemed “filed” for purposes of Section 18 of the Exchange Act. Such certifications will not be deemed to be incorporated by reference into any filing under the Securities Act or the Exchange Act, except to the extent that the registrant specifically incorporates them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Not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7"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00" w:before="0" w:after="2"/>
        <w:jc w:val="both"/>
        <w:rPr>
          <w:color w:val="000000"/>
        </w:rPr>
      </w:pPr>
      <w:r>
        <w:rPr>
          <w:color w:val="000000"/>
        </w:rPr>
        <w:t> </w:t>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2"/>
        <w:jc w:val="both"/>
        <w:rPr/>
      </w:pPr>
      <w:r>
        <w:rPr/>
      </w:r>
    </w:p>
    <w:p>
      <w:pPr>
        <w:pStyle w:val="TextBody"/>
        <w:bidi w:val="0"/>
        <w:spacing w:lineRule="auto" w:line="300" w:before="0" w:after="2"/>
        <w:jc w:val="both"/>
        <w:rPr>
          <w:color w:val="000000"/>
        </w:rPr>
      </w:pPr>
      <w:r>
        <w:rPr>
          <w:color w:val="000000"/>
        </w:rPr>
        <w:t> </w:t>
      </w:r>
    </w:p>
    <w:tbl>
      <w:tblPr>
        <w:tblW w:w="5937" w:type="dxa"/>
        <w:jc w:val="left"/>
        <w:tblInd w:w="0" w:type="dxa"/>
        <w:tblLayout w:type="fixed"/>
        <w:tblCellMar>
          <w:top w:w="28" w:type="dxa"/>
          <w:left w:w="28" w:type="dxa"/>
          <w:bottom w:w="28" w:type="dxa"/>
          <w:right w:w="28" w:type="dxa"/>
        </w:tblCellMar>
      </w:tblPr>
      <w:tblGrid>
        <w:gridCol w:w="754"/>
        <w:gridCol w:w="664"/>
        <w:gridCol w:w="667"/>
        <w:gridCol w:w="214"/>
        <w:gridCol w:w="214"/>
        <w:gridCol w:w="214"/>
        <w:gridCol w:w="933"/>
        <w:gridCol w:w="933"/>
        <w:gridCol w:w="134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852"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AZITRA, INC.</w:t>
            </w:r>
          </w:p>
        </w:tc>
      </w:tr>
      <w:tr>
        <w:trPr/>
        <w:tc>
          <w:tcPr>
            <w:tcW w:w="2085"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8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tc>
        <w:tc>
          <w:tcPr>
            <w:tcW w:w="6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Francisco D. Salva</w:t>
            </w:r>
          </w:p>
        </w:tc>
      </w:tr>
      <w:tr>
        <w:trPr/>
        <w:tc>
          <w:tcPr>
            <w:tcW w:w="2085"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Francisco D. Salva,</w:t>
            </w:r>
          </w:p>
        </w:tc>
      </w:tr>
      <w:tr>
        <w:trPr/>
        <w:tc>
          <w:tcPr>
            <w:tcW w:w="2085"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642"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tc>
        <w:tc>
          <w:tcPr>
            <w:tcW w:w="64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Norman Staskey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Norman Staskey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
        <w:ind w:left="0" w:right="0" w:firstLine="720"/>
        <w:jc w:val="both"/>
        <w:rPr/>
      </w:pPr>
      <w:r>
        <w:rPr/>
      </w:r>
    </w:p>
    <w:p>
      <w:pPr>
        <w:pStyle w:val="TextBody"/>
        <w:bidi w:val="0"/>
        <w:spacing w:lineRule="auto" w:line="300" w:before="0" w:after="2"/>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capabilities and on the dates indicated.</w:t>
      </w:r>
    </w:p>
    <w:p>
      <w:pPr>
        <w:pStyle w:val="TextBody"/>
        <w:bidi w:val="0"/>
        <w:spacing w:before="0" w:after="2"/>
        <w:ind w:left="0" w:right="0" w:firstLine="720"/>
        <w:jc w:val="both"/>
        <w:rPr/>
      </w:pPr>
      <w:r>
        <w:rPr/>
      </w:r>
    </w:p>
    <w:tbl>
      <w:tblPr>
        <w:tblW w:w="7766" w:type="dxa"/>
        <w:jc w:val="left"/>
        <w:tblInd w:w="0" w:type="dxa"/>
        <w:tblLayout w:type="fixed"/>
        <w:tblCellMar>
          <w:top w:w="28" w:type="dxa"/>
          <w:left w:w="28" w:type="dxa"/>
          <w:bottom w:w="28" w:type="dxa"/>
          <w:right w:w="28" w:type="dxa"/>
        </w:tblCellMar>
      </w:tblPr>
      <w:tblGrid>
        <w:gridCol w:w="672"/>
        <w:gridCol w:w="592"/>
        <w:gridCol w:w="596"/>
        <w:gridCol w:w="109"/>
        <w:gridCol w:w="109"/>
        <w:gridCol w:w="109"/>
        <w:gridCol w:w="1309"/>
        <w:gridCol w:w="1309"/>
        <w:gridCol w:w="1326"/>
        <w:gridCol w:w="477"/>
        <w:gridCol w:w="477"/>
        <w:gridCol w:w="681"/>
      </w:tblGrid>
      <w:tr>
        <w:trPr/>
        <w:tc>
          <w:tcPr>
            <w:tcW w:w="67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Title</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Francisco D. Salva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Francisco D. Salva,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center"/>
              <w:rPr>
                <w:color w:val="000000"/>
                <w:shd w:fill="FFFFFF" w:val="clear"/>
              </w:rPr>
            </w:pPr>
            <w:r>
              <w:rPr>
                <w:color w:val="000000"/>
                <w:shd w:fill="FFFFFF" w:val="clear"/>
              </w:rPr>
              <w:t> </w:t>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Norman Staskey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Norman Staskey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Travis Whitfill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Chief Operating Officer, Secretary, and Director</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Travis Whitfill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Barbara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Barbara Ryan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John Schroer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February 27, 2026</w:t>
            </w:r>
          </w:p>
        </w:tc>
      </w:tr>
      <w:tr>
        <w:trPr/>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John Schroer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7772400" cy="1104900"/>
            <wp:effectExtent l="0" t="0" r="0" b="0"/>
            <wp:docPr id="14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5" descr=""/>
                    <pic:cNvPicPr>
                      <a:picLocks noChangeAspect="1" noChangeArrowheads="1"/>
                    </pic:cNvPicPr>
                  </pic:nvPicPr>
                  <pic:blipFill>
                    <a:blip r:embed="rId80"/>
                    <a:stretch>
                      <a:fillRect/>
                    </a:stretch>
                  </pic:blipFill>
                  <pic:spPr bwMode="auto">
                    <a:xfrm>
                      <a:off x="0" y="0"/>
                      <a:ext cx="7772400" cy="1104900"/>
                    </a:xfrm>
                    <a:prstGeom prst="rect">
                      <a:avLst/>
                    </a:prstGeom>
                  </pic:spPr>
                </pic:pic>
              </a:graphicData>
            </a:graphic>
          </wp:inline>
        </w:drawing>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49"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16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 on Form S-1 (File No. 333-292049, File No. 333-288766, File No. 333-286809, File No. 333-280806), Form S-3 (File No. 333-280648), and Form S-8 (File No. 333-293079, File No. 333-291870, File No. 333-275876) of our report dated February 27, 2026 with respect to our audits of the financial statements of Azitra, Inc. as of December 31, 2025 and 2024 and for each of the two years in the period ended December 31, 2025, which report is included in this Annual Report on Form 10-K as of and for the year ended December 31, 2025. Our report contains an explanatory paragraph regarding the Company’s ability to continue as a going concern.</w:t>
      </w:r>
    </w:p>
    <w:p>
      <w:pPr>
        <w:pStyle w:val="TextBody"/>
        <w:bidi w:val="0"/>
        <w:spacing w:before="0" w:after="0"/>
        <w:jc w:val="left"/>
        <w:rPr/>
      </w:pPr>
      <w:r>
        <w:rPr/>
      </w:r>
    </w:p>
    <w:p>
      <w:pPr>
        <w:pStyle w:val="TextBody"/>
        <w:bidi w:val="0"/>
        <w:spacing w:before="0" w:after="0"/>
        <w:jc w:val="left"/>
        <w:rPr/>
      </w:pPr>
      <w:r>
        <w:rPr/>
        <w:drawing>
          <wp:inline distT="0" distB="0" distL="0" distR="0">
            <wp:extent cx="1828800" cy="361950"/>
            <wp:effectExtent l="0" t="0" r="0" b="0"/>
            <wp:docPr id="15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6" descr=""/>
                    <pic:cNvPicPr>
                      <a:picLocks noChangeAspect="1" noChangeArrowheads="1"/>
                    </pic:cNvPicPr>
                  </pic:nvPicPr>
                  <pic:blipFill>
                    <a:blip r:embed="rId81"/>
                    <a:stretch>
                      <a:fillRect/>
                    </a:stretch>
                  </pic:blipFill>
                  <pic:spPr bwMode="auto">
                    <a:xfrm>
                      <a:off x="0" y="0"/>
                      <a:ext cx="1828800" cy="36195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Grassi &amp; Co., CPAs, P.C.</w:t>
      </w:r>
    </w:p>
    <w:p>
      <w:pPr>
        <w:pStyle w:val="TextBody"/>
        <w:bidi w:val="0"/>
        <w:spacing w:before="0" w:after="0"/>
        <w:jc w:val="left"/>
        <w:rPr/>
      </w:pPr>
      <w:r>
        <w:rPr/>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Jericho, New York</w:t>
      </w:r>
    </w:p>
    <w:p>
      <w:pPr>
        <w:pStyle w:val="TextBody"/>
        <w:bidi w:val="0"/>
        <w:spacing w:lineRule="auto" w:line="300"/>
        <w:jc w:val="left"/>
        <w:rPr>
          <w:rFonts w:ascii="Arial;sans-serif" w:hAnsi="Arial;sans-serif"/>
          <w:b w:val="false"/>
          <w:color w:val="000000"/>
          <w:sz w:val="20"/>
        </w:rPr>
      </w:pPr>
      <w:r>
        <w:rPr>
          <w:rFonts w:ascii="Arial;sans-serif" w:hAnsi="Arial;sans-serif"/>
          <w:b w:val="false"/>
          <w:color w:val="000000"/>
          <w:sz w:val="20"/>
        </w:rPr>
        <w:t>February 27,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945640"/>
                <wp:effectExtent l="0" t="0" r="0" b="0"/>
                <wp:wrapNone/>
                <wp:docPr id="151" name="Frame135"/>
                <a:graphic xmlns:a="http://schemas.openxmlformats.org/drawingml/2006/main">
                  <a:graphicData uri="http://schemas.microsoft.com/office/word/2010/wordprocessingShape">
                    <wps:wsp>
                      <wps:cNvSpPr txBox="1"/>
                      <wps:spPr>
                        <a:xfrm>
                          <a:off x="0" y="0"/>
                          <a:ext cx="6480175" cy="194564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7781925" cy="1181100"/>
                                  <wp:effectExtent l="0" t="0" r="0" b="0"/>
                                  <wp:docPr id="1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7" descr=""/>
                                          <pic:cNvPicPr>
                                            <a:picLocks noChangeAspect="1" noChangeArrowheads="1"/>
                                          </pic:cNvPicPr>
                                        </pic:nvPicPr>
                                        <pic:blipFill>
                                          <a:blip r:embed="rId82"/>
                                          <a:stretch>
                                            <a:fillRect/>
                                          </a:stretch>
                                        </pic:blipFill>
                                        <pic:spPr bwMode="auto">
                                          <a:xfrm>
                                            <a:off x="0" y="0"/>
                                            <a:ext cx="7781925" cy="1181100"/>
                                          </a:xfrm>
                                          <a:prstGeom prst="rect">
                                            <a:avLst/>
                                          </a:prstGeom>
                                        </pic:spPr>
                                      </pic:pic>
                                    </a:graphicData>
                                  </a:graphic>
                                </wp:inline>
                              </w:drawing>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7781925" cy="1181100"/>
                            <wp:effectExtent l="0" t="0" r="0" b="0"/>
                            <wp:docPr id="15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7" descr=""/>
                                    <pic:cNvPicPr>
                                      <a:picLocks noChangeAspect="1" noChangeArrowheads="1"/>
                                    </pic:cNvPicPr>
                                  </pic:nvPicPr>
                                  <pic:blipFill>
                                    <a:blip r:embed="rId83"/>
                                    <a:stretch>
                                      <a:fillRect/>
                                    </a:stretch>
                                  </pic:blipFill>
                                  <pic:spPr bwMode="auto">
                                    <a:xfrm>
                                      <a:off x="0" y="0"/>
                                      <a:ext cx="7781925" cy="1181100"/>
                                    </a:xfrm>
                                    <a:prstGeom prst="rect">
                                      <a:avLst/>
                                    </a:prstGeom>
                                  </pic:spPr>
                                </pic:pic>
                              </a:graphicData>
                            </a:graphic>
                          </wp:inline>
                        </w:drawing>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Francisco D. Salva,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Azitra, Inc.;</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1720" w:type="dxa"/>
        <w:jc w:val="left"/>
        <w:tblInd w:w="0" w:type="dxa"/>
        <w:tblLayout w:type="fixed"/>
        <w:tblCellMar>
          <w:top w:w="28" w:type="dxa"/>
          <w:left w:w="28" w:type="dxa"/>
          <w:bottom w:w="28" w:type="dxa"/>
          <w:right w:w="28" w:type="dxa"/>
        </w:tblCellMar>
      </w:tblPr>
      <w:tblGrid>
        <w:gridCol w:w="124"/>
        <w:gridCol w:w="109"/>
        <w:gridCol w:w="109"/>
        <w:gridCol w:w="214"/>
        <w:gridCol w:w="214"/>
        <w:gridCol w:w="214"/>
        <w:gridCol w:w="214"/>
        <w:gridCol w:w="214"/>
        <w:gridCol w:w="3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AZITRA,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16840"/>
                <wp:effectExtent l="0" t="0" r="0" b="0"/>
                <wp:wrapNone/>
                <wp:docPr id="154" name="Frame1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v:textbox>
                <w10:wrap type="none"/>
              </v:rect>
            </w:pict>
          </mc:Fallback>
        </mc:AlternateContent>
      </w:r>
    </w:p>
    <w:tbl>
      <w:tblPr>
        <w:tblW w:w="6149" w:type="dxa"/>
        <w:jc w:val="left"/>
        <w:tblInd w:w="0" w:type="dxa"/>
        <w:tblLayout w:type="fixed"/>
        <w:tblCellMar>
          <w:top w:w="28" w:type="dxa"/>
          <w:left w:w="28" w:type="dxa"/>
          <w:bottom w:w="28" w:type="dxa"/>
          <w:right w:w="28" w:type="dxa"/>
        </w:tblCellMar>
      </w:tblPr>
      <w:tblGrid>
        <w:gridCol w:w="755"/>
        <w:gridCol w:w="664"/>
        <w:gridCol w:w="666"/>
        <w:gridCol w:w="134"/>
        <w:gridCol w:w="134"/>
        <w:gridCol w:w="136"/>
        <w:gridCol w:w="1072"/>
        <w:gridCol w:w="1072"/>
        <w:gridCol w:w="1516"/>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tc>
        <w:tc>
          <w:tcPr>
            <w:tcW w:w="40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6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i/>
                <w:color w:val="000000"/>
                <w:sz w:val="20"/>
              </w:rPr>
            </w:pPr>
            <w:r>
              <w:rPr>
                <w:rFonts w:ascii="Times New Roman;serif" w:hAnsi="Times New Roman;serif"/>
                <w:b w:val="false"/>
                <w:i/>
                <w:color w:val="000000"/>
                <w:sz w:val="20"/>
              </w:rPr>
              <w:t>/s/ Francisco D. Salva</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Francisco D. Salva, 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16840"/>
                <wp:effectExtent l="0" t="0" r="0" b="0"/>
                <wp:wrapNone/>
                <wp:docPr id="155" name="Frame1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 Norman Staskey, certify that: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annual report on Form 10-K of Azitra, Inc.;</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quarter (the registrant’s fourth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4451" w:type="dxa"/>
        <w:jc w:val="left"/>
        <w:tblInd w:w="0" w:type="dxa"/>
        <w:tblLayout w:type="fixed"/>
        <w:tblCellMar>
          <w:top w:w="28" w:type="dxa"/>
          <w:left w:w="28" w:type="dxa"/>
          <w:bottom w:w="28" w:type="dxa"/>
          <w:right w:w="28" w:type="dxa"/>
        </w:tblCellMar>
      </w:tblPr>
      <w:tblGrid>
        <w:gridCol w:w="755"/>
        <w:gridCol w:w="664"/>
        <w:gridCol w:w="666"/>
        <w:gridCol w:w="214"/>
        <w:gridCol w:w="214"/>
        <w:gridCol w:w="214"/>
        <w:gridCol w:w="500"/>
        <w:gridCol w:w="500"/>
        <w:gridCol w:w="72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AZITRA,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February 27, 2026</w:t>
            </w:r>
          </w:p>
        </w:tc>
        <w:tc>
          <w:tcPr>
            <w:tcW w:w="64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w:t>
            </w:r>
            <w:r>
              <w:rPr>
                <w:rFonts w:ascii="Times New Roman;serif" w:hAnsi="Times New Roman;serif"/>
                <w:b w:val="false"/>
                <w:i/>
                <w:color w:val="000000"/>
                <w:sz w:val="20"/>
              </w:rPr>
              <w:t>Norman S</w:t>
            </w:r>
            <w:r>
              <w:rPr>
                <w:rFonts w:ascii="Times New Roman;serif" w:hAnsi="Times New Roman;serif"/>
                <w:b w:val="false"/>
                <w:color w:val="000000"/>
                <w:sz w:val="20"/>
              </w:rPr>
              <w:t>taskey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16840"/>
                <wp:effectExtent l="0" t="0" r="0" b="0"/>
                <wp:wrapNone/>
                <wp:docPr id="156" name="Frame1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v:textbox>
                <w10:wrap type="none"/>
              </v:rect>
            </w:pict>
          </mc:Fallback>
        </mc:AlternateContent>
      </w:r>
    </w:p>
    <w:tbl>
      <w:tblPr>
        <w:tblW w:w="40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0"/>
        <w:gridCol w:w="1000"/>
        <w:gridCol w:w="14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Norman Staskey,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6840"/>
                <wp:effectExtent l="0" t="0" r="0" b="0"/>
                <wp:wrapNone/>
                <wp:docPr id="157" name="Frame1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ss.1350,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Azitra, Inc. (the “Company”) on Form 10-K for the period ended December 31, 2025 as filed with the Securities and Exchange Commission on the date hereof (the “Report”), I, Francisco D. Salva, the Chief Executive Officer, and Norman Staskey, the Chief Financial Officer, of the Company, respectively, certify, pursuant to 18 U.S.C. §1350, as adopted pursuant to Section 906 of the Sarbanes-Oxley Act of 2002, that to my knowledge: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tbl>
      <w:tblPr>
        <w:tblW w:w="6836" w:type="dxa"/>
        <w:jc w:val="left"/>
        <w:tblInd w:w="0" w:type="dxa"/>
        <w:tblLayout w:type="fixed"/>
        <w:tblCellMar>
          <w:top w:w="28" w:type="dxa"/>
          <w:left w:w="28" w:type="dxa"/>
          <w:bottom w:w="28" w:type="dxa"/>
          <w:right w:w="28" w:type="dxa"/>
        </w:tblCellMar>
      </w:tblPr>
      <w:tblGrid>
        <w:gridCol w:w="205"/>
        <w:gridCol w:w="181"/>
        <w:gridCol w:w="184"/>
        <w:gridCol w:w="1238"/>
        <w:gridCol w:w="1238"/>
        <w:gridCol w:w="1243"/>
        <w:gridCol w:w="109"/>
        <w:gridCol w:w="109"/>
        <w:gridCol w:w="109"/>
        <w:gridCol w:w="650"/>
        <w:gridCol w:w="650"/>
        <w:gridCol w:w="920"/>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Francisco D. Salva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Dated: February 27, 2026</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Francisco D. Salva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Norman Staskey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Dated: February 27, 2026</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Norman Staskey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7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is made solely for the purposes of 18 U.S.C. Section 1350, subject to the knowledge standard contained therein, and not for any other purpose.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16840"/>
                <wp:effectExtent l="0" t="0" r="0" b="0"/>
                <wp:wrapNone/>
                <wp:docPr id="158" name="Frame1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ACTIVE 707481277v1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hyperlink" Target="https://www.sec.gov/Archives/edgar/data/1701478/000149315223021998/ex3-1.htm" TargetMode="External"/><Relationship Id="rId17" Type="http://schemas.openxmlformats.org/officeDocument/2006/relationships/hyperlink" Target="https://www.sec.gov/Archives/edgar/data/1701478/000149315223021998/ex3-2.htm" TargetMode="External"/><Relationship Id="rId18" Type="http://schemas.openxmlformats.org/officeDocument/2006/relationships/hyperlink" Target="https://www.sec.gov/Archives/edgar/data/1701478/000149315224025854/ex3-3.htm" TargetMode="External"/><Relationship Id="rId19" Type="http://schemas.openxmlformats.org/officeDocument/2006/relationships/hyperlink" Target="https://www.sec.gov/ix?doc=/Archives/edgar/data/0001701478/000164117225017786/form8-k.htm" TargetMode="External"/><Relationship Id="rId20" Type="http://schemas.openxmlformats.org/officeDocument/2006/relationships/hyperlink" Target="https://www.sec.gov/ix?doc=/Archives/edgar/data/0001701478/000164117225017786/form8-k.htm" TargetMode="External"/><Relationship Id="rId21" Type="http://schemas.openxmlformats.org/officeDocument/2006/relationships/hyperlink" Target="https://www.sec.gov/ix?doc=/Archives/edgar/data/0001701478/000149315225012191/form8-k.htm" TargetMode="External"/><Relationship Id="rId22" Type="http://schemas.openxmlformats.org/officeDocument/2006/relationships/hyperlink" Target="https://www.sec.gov/ix?doc=/Archives/edgar/data/0001701478/000149315225012191/form8-k.htm" TargetMode="External"/><Relationship Id="rId23" Type="http://schemas.openxmlformats.org/officeDocument/2006/relationships/hyperlink" Target="https://www.sec.gov/Archives/edgar/data/1701478/000149315223017665/ex4-1.htm" TargetMode="External"/><Relationship Id="rId24" Type="http://schemas.openxmlformats.org/officeDocument/2006/relationships/hyperlink" Target="https://www.sec.gov/Archives/edgar/data/1701478/000149315223005551/ex4-2.htm" TargetMode="External"/><Relationship Id="rId25" Type="http://schemas.openxmlformats.org/officeDocument/2006/relationships/hyperlink" Target="https://www.sec.gov/Archives/edgar/data/1701478/000149315223017665/ex1-1.htm" TargetMode="External"/><Relationship Id="rId26" Type="http://schemas.openxmlformats.org/officeDocument/2006/relationships/hyperlink" Target="https://www.sec.gov/Archives/edgar/data/1701478/000149315224006365/ex1-1.htm" TargetMode="External"/><Relationship Id="rId27" Type="http://schemas.openxmlformats.org/officeDocument/2006/relationships/hyperlink" Target="https://www.sec.gov/ix?doc=/Archives/edgar/data/0001701478/000149315224029228/form8-k.htm" TargetMode="External"/><Relationship Id="rId28" Type="http://schemas.openxmlformats.org/officeDocument/2006/relationships/hyperlink" Target="https://www.sec.gov/ix?doc=/Archives/edgar/data/0001701478/000149315224029228/form8-k.htm" TargetMode="External"/><Relationship Id="rId29" Type="http://schemas.openxmlformats.org/officeDocument/2006/relationships/hyperlink" Target="https://www.sec.gov/ix?doc=/Archives/edgar/data/0001701478/000149315224029228/form8-k.htm" TargetMode="External"/><Relationship Id="rId30" Type="http://schemas.openxmlformats.org/officeDocument/2006/relationships/hyperlink" Target="https://www.sec.gov/ix?doc=/Archives/edgar/data/0001701478/000149315225002537/form8-k.htm" TargetMode="External"/><Relationship Id="rId31" Type="http://schemas.openxmlformats.org/officeDocument/2006/relationships/hyperlink" Target="https://www.sec.gov/ix?doc=/Archives/edgar/data/0001701478/000149315225005106/form8-k.htm" TargetMode="External"/><Relationship Id="rId32" Type="http://schemas.openxmlformats.org/officeDocument/2006/relationships/hyperlink" Target="https://www.sec.gov/ix?doc=/Archives/edgar/data/0001701478/000149315225005106/form8-k.htm" TargetMode="External"/><Relationship Id="rId33" Type="http://schemas.openxmlformats.org/officeDocument/2006/relationships/hyperlink" Target="https://www.sec.gov/ix?doc=/Archives/edgar/data/0001701478/000149315224010091/form10-k.htm" TargetMode="External"/><Relationship Id="rId34" Type="http://schemas.openxmlformats.org/officeDocument/2006/relationships/hyperlink" Target="https://www.sec.gov/ix?doc=/Archives/edgar/data/0001701478/000164117225006043/form8-k.htm" TargetMode="External"/><Relationship Id="rId35" Type="http://schemas.openxmlformats.org/officeDocument/2006/relationships/hyperlink" Target="https://www.sec.gov/ix?doc=/Archives/edgar/data/0001701478/000164117225006043/form8-k.htm" TargetMode="External"/><Relationship Id="rId36" Type="http://schemas.openxmlformats.org/officeDocument/2006/relationships/hyperlink" Target="https://www.sec.gov/ix?doc=/Archives/edgar/data/0001701478/000164117225006043/form8-k.htm" TargetMode="External"/><Relationship Id="rId37" Type="http://schemas.openxmlformats.org/officeDocument/2006/relationships/hyperlink" Target="https://www.sec.gov/ix?doc=/Archives/edgar/data/0001701478/000164117225006043/form8-k.htm" TargetMode="External"/><Relationship Id="rId38" Type="http://schemas.openxmlformats.org/officeDocument/2006/relationships/hyperlink" Target="https://www.sec.gov/ix?doc=/Archives/edgar/data/0001701478/000164117225006043/form8-k.htm" TargetMode="External"/><Relationship Id="rId39" Type="http://schemas.openxmlformats.org/officeDocument/2006/relationships/hyperlink" Target="https://www.sec.gov/ix?doc=/Archives/edgar/data/0001701478/000149315225025001/form8-k.htm" TargetMode="External"/><Relationship Id="rId40" Type="http://schemas.openxmlformats.org/officeDocument/2006/relationships/hyperlink" Target="https://www.sec.gov/ix?doc=/Archives/edgar/data/0001701478/000149315225025001/form8-k.htm" TargetMode="External"/><Relationship Id="rId41" Type="http://schemas.openxmlformats.org/officeDocument/2006/relationships/hyperlink" Target="https://www.sec.gov/ix?doc=/Archives/edgar/data/0001701478/000149315225025001/form8-k.htm" TargetMode="External"/><Relationship Id="rId42" Type="http://schemas.openxmlformats.org/officeDocument/2006/relationships/hyperlink" Target="https://www.sec.gov/ix?doc=/Archives/edgar/data/0001701478/000149315225025001/form8-k.htm" TargetMode="External"/><Relationship Id="rId43" Type="http://schemas.openxmlformats.org/officeDocument/2006/relationships/hyperlink" Target="https://www.sec.gov/ix?doc=/Archives/edgar/data/0001701478/000149315225025001/form8-k.htm" TargetMode="External"/><Relationship Id="rId44" Type="http://schemas.openxmlformats.org/officeDocument/2006/relationships/hyperlink" Target="https://www.sec.gov/ix?doc=/Archives/edgar/data/0001701478/000149315225025001/form8-k.htm" TargetMode="External"/><Relationship Id="rId45" Type="http://schemas.openxmlformats.org/officeDocument/2006/relationships/hyperlink" Target="https://www.sec.gov/Archives/edgar/data/1701478/000149315225025575/forms-8.htm" TargetMode="External"/><Relationship Id="rId46" Type="http://schemas.openxmlformats.org/officeDocument/2006/relationships/hyperlink" Target="https://www.sec.gov/Archives/edgar/data/1701478/000149315225025575/forms-8.htm" TargetMode="External"/><Relationship Id="rId47" Type="http://schemas.openxmlformats.org/officeDocument/2006/relationships/hyperlink" Target="https://www.sec.gov/Archives/edgar/data/1701478/000149315222035618/filename7.htm" TargetMode="External"/><Relationship Id="rId48" Type="http://schemas.openxmlformats.org/officeDocument/2006/relationships/hyperlink" Target="https://www.sec.gov/Archives/edgar/data/1701478/000149315223008274/ex10-5.htm" TargetMode="External"/><Relationship Id="rId49" Type="http://schemas.openxmlformats.org/officeDocument/2006/relationships/hyperlink" Target="https://www.sec.gov/Archives/edgar/data/1701478/000149315222035618/filename9.htm" TargetMode="External"/><Relationship Id="rId50" Type="http://schemas.openxmlformats.org/officeDocument/2006/relationships/hyperlink" Target="https://www.sec.gov/Archives/edgar/data/1701478/000149315224002993/ex10-4.htm" TargetMode="External"/><Relationship Id="rId51" Type="http://schemas.openxmlformats.org/officeDocument/2006/relationships/hyperlink" Target="https://www.sec.gov/Archives/edgar/data/1701478/000149315222035618/filename6.htm" TargetMode="External"/><Relationship Id="rId52" Type="http://schemas.openxmlformats.org/officeDocument/2006/relationships/hyperlink" Target="https://www.sec.gov/Archives/edgar/data/1701478/000149315222035618/filename8.htm" TargetMode="External"/><Relationship Id="rId53" Type="http://schemas.openxmlformats.org/officeDocument/2006/relationships/hyperlink" Target="https://www.sec.gov/ix?doc=/Archives/edgar/data/0001701478/000149315224029228/form8-k.htm" TargetMode="External"/><Relationship Id="rId54" Type="http://schemas.openxmlformats.org/officeDocument/2006/relationships/hyperlink" Target="https://www.sec.gov/ix?doc=/Archives/edgar/data/0001701478/000149315224029228/form8-k.htm" TargetMode="External"/><Relationship Id="rId55" Type="http://schemas.openxmlformats.org/officeDocument/2006/relationships/hyperlink" Target="https://www.sec.gov/ix?doc=/Archives/edgar/data/0001701478/000149315225002537/form8-k.htm" TargetMode="External"/><Relationship Id="rId56" Type="http://schemas.openxmlformats.org/officeDocument/2006/relationships/hyperlink" Target="https://www.sec.gov/ix?doc=/Archives/edgar/data/0001701478/000149315225002537/form8-k.htm" TargetMode="External"/><Relationship Id="rId57" Type="http://schemas.openxmlformats.org/officeDocument/2006/relationships/hyperlink" Target="https://www.sec.gov/ix?doc=/Archives/edgar/data/0001701478/000149315225002537/form8-k.htm" TargetMode="External"/><Relationship Id="rId58" Type="http://schemas.openxmlformats.org/officeDocument/2006/relationships/hyperlink" Target="https://www.sec.gov/ix?doc=/Archives/edgar/data/0001701478/000149315225005103/form8-k.htm" TargetMode="External"/><Relationship Id="rId59" Type="http://schemas.openxmlformats.org/officeDocument/2006/relationships/hyperlink" Target="https://www.sec.gov/ix?doc=/Archives/edgar/data/0001701478/000149315225005103/form8-k.htm" TargetMode="External"/><Relationship Id="rId60" Type="http://schemas.openxmlformats.org/officeDocument/2006/relationships/hyperlink" Target="https://www.sec.gov/ix?doc=/Archives/edgar/data/0001701478/000149315225005103/form8-k.htm" TargetMode="External"/><Relationship Id="rId61" Type="http://schemas.openxmlformats.org/officeDocument/2006/relationships/hyperlink" Target="https://www.sec.gov/ix?doc=/Archives/edgar/data/0001701478/000149315225005103/form8-k.htm" TargetMode="External"/><Relationship Id="rId62" Type="http://schemas.openxmlformats.org/officeDocument/2006/relationships/hyperlink" Target="https://www.sec.gov/ix?doc=/Archives/edgar/data/0001701478/000164117225006043/form8-k.htm" TargetMode="External"/><Relationship Id="rId63" Type="http://schemas.openxmlformats.org/officeDocument/2006/relationships/hyperlink" Target="https://www.sec.gov/ix?doc=/Archives/edgar/data/0001701478/000164117225006043/form8-k.htm" TargetMode="External"/><Relationship Id="rId64" Type="http://schemas.openxmlformats.org/officeDocument/2006/relationships/hyperlink" Target="https://www.sec.gov/ix?doc=/Archives/edgar/data/0001701478/000164117225006043/form8-k.htm" TargetMode="External"/><Relationship Id="rId65" Type="http://schemas.openxmlformats.org/officeDocument/2006/relationships/hyperlink" Target="https://www.sec.gov/ix?doc=/Archives/edgar/data/0001701478/000149315225012476/form8-k.htm" TargetMode="External"/><Relationship Id="rId66" Type="http://schemas.openxmlformats.org/officeDocument/2006/relationships/hyperlink" Target="https://www.sec.gov/ix?doc=/Archives/edgar/data/0001701478/000149315225012476/form8-k.htm" TargetMode="External"/><Relationship Id="rId67" Type="http://schemas.openxmlformats.org/officeDocument/2006/relationships/hyperlink" Target="https://www.sec.gov/ix?doc=/Archives/edgar/data/0001701478/000149315225025001/form8-k.htm" TargetMode="External"/><Relationship Id="rId68" Type="http://schemas.openxmlformats.org/officeDocument/2006/relationships/hyperlink" Target="https://www.sec.gov/ix?doc=/Archives/edgar/data/0001701478/000149315225025001/form8-k.htm" TargetMode="External"/><Relationship Id="rId69" Type="http://schemas.openxmlformats.org/officeDocument/2006/relationships/hyperlink" Target="https://www.sec.gov/ix?doc=/Archives/edgar/data/0001701478/000149315225025001/form8-k.htm" TargetMode="External"/><Relationship Id="rId70" Type="http://schemas.openxmlformats.org/officeDocument/2006/relationships/hyperlink" Target="https://www.sec.gov/ix?doc=/Archives/edgar/data/0001701478/000149315225025001/form8-k.htm" TargetMode="External"/><Relationship Id="rId71" Type="http://schemas.openxmlformats.org/officeDocument/2006/relationships/hyperlink" Target="https://www.sec.gov/ix?doc=/Archives/edgar/data/0001701478/000149315225025001/form8-k.htm" TargetMode="External"/><Relationship Id="rId72" Type="http://schemas.openxmlformats.org/officeDocument/2006/relationships/hyperlink" Target="https://www.sec.gov/ix?doc=/Archives/edgar/data/0001701478/000149315225025001/form8-k.htm" TargetMode="External"/><Relationship Id="rId73" Type="http://schemas.openxmlformats.org/officeDocument/2006/relationships/hyperlink" Target="https://www.sec.gov/ix?doc=/Archives/edgar/data/0001701478/000149315225025001/form8-k.htm" TargetMode="External"/><Relationship Id="rId74" Type="http://schemas.openxmlformats.org/officeDocument/2006/relationships/hyperlink" Target="https://www.sec.gov/ix?doc=/Archives/edgar/data/0001701478/000149315225025001/form8-k.htm" TargetMode="External"/><Relationship Id="rId75" Type="http://schemas.openxmlformats.org/officeDocument/2006/relationships/hyperlink" Target="https://www.sec.gov/ix?doc=/Archives/edgar/data/0001701478/000149315225025001/form8-k.htm" TargetMode="External"/><Relationship Id="rId76" Type="http://schemas.openxmlformats.org/officeDocument/2006/relationships/hyperlink" Target="https://www.sec.gov/ix?doc=/Archives/edgar/data/0001701478/000149315225025001/form8-k.htm" TargetMode="External"/><Relationship Id="rId77" Type="http://schemas.openxmlformats.org/officeDocument/2006/relationships/hyperlink" Target="https://www.sec.gov/Archives/edgar/data/1701478/000170147825000012/aztr-20241231xexx191.htm" TargetMode="External"/><Relationship Id="rId78" Type="http://schemas.openxmlformats.org/officeDocument/2006/relationships/hyperlink" Target="https://www.sec.gov/Archives/edgar/data/1701478/000149315223008274/ex21-1.htm" TargetMode="External"/><Relationship Id="rId79" Type="http://schemas.openxmlformats.org/officeDocument/2006/relationships/hyperlink" Target="https://www.sec.gov/ix?doc=/Archives/edgar/data/0001701478/000149315224010091/form10-k.htm" TargetMode="External"/><Relationship Id="rId80" Type="http://schemas.openxmlformats.org/officeDocument/2006/relationships/image" Target="media/image15.jpeg"/><Relationship Id="rId81" Type="http://schemas.openxmlformats.org/officeDocument/2006/relationships/image" Target="media/image16.png"/><Relationship Id="rId82" Type="http://schemas.openxmlformats.org/officeDocument/2006/relationships/image" Target="media/image17.jpeg"/><Relationship Id="rId83" Type="http://schemas.openxmlformats.org/officeDocument/2006/relationships/image" Target="media/image17.jpeg"/><Relationship Id="rId84" Type="http://schemas.openxmlformats.org/officeDocument/2006/relationships/fontTable" Target="fontTable.xml"/><Relationship Id="rId8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76747</Words>
  <Characters>425350</Characters>
  <CharactersWithSpaces>499805</CharactersWithSpaces>
  <Paragraphs>3610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