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907" w:orient="portrait"/>
          <w:cols w:equalWidth="0" w:num="1">
            <w:col w:w="10940"/>
          </w:cols>
          <w:pgMar w:left="480" w:top="236"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Kreis Leslie W.</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06/15/2023</w:t>
            </w:r>
          </w:p>
        </w:tc>
        <w:tc>
          <w:tcPr>
            <w:tcW w:w="0" w:type="dxa"/>
            <w:vAlign w:val="bottom"/>
          </w:tcPr>
          <w:p>
            <w:pPr>
              <w:spacing w:after="0"/>
              <w:rPr>
                <w:sz w:val="1"/>
                <w:szCs w:val="1"/>
                <w:color w:val="auto"/>
              </w:rPr>
            </w:pPr>
          </w:p>
        </w:tc>
      </w:tr>
    </w:tbl>
    <w:p>
      <w:pPr>
        <w:spacing w:after="0" w:line="15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900" w:type="dxa"/>
            <w:vAlign w:val="bottom"/>
          </w:tcPr>
          <w:p>
            <w:pPr>
              <w:ind w:left="40"/>
              <w:spacing w:after="0"/>
              <w:rPr>
                <w:sz w:val="20"/>
                <w:szCs w:val="20"/>
                <w:color w:val="auto"/>
              </w:rPr>
            </w:pPr>
            <w:r>
              <w:rPr>
                <w:rFonts w:ascii="Arial" w:cs="Arial" w:eastAsia="Arial" w:hAnsi="Arial"/>
                <w:sz w:val="15"/>
                <w:szCs w:val="15"/>
                <w:color w:val="auto"/>
              </w:rPr>
              <w:t>(Last)</w:t>
            </w:r>
          </w:p>
        </w:tc>
        <w:tc>
          <w:tcPr>
            <w:tcW w:w="900" w:type="dxa"/>
            <w:vAlign w:val="bottom"/>
          </w:tcPr>
          <w:p>
            <w:pPr>
              <w:ind w:left="16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C/O BIOS EQUITY PARTNERS</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1751 RIVER RUN SUITE 400</w:t>
            </w:r>
          </w:p>
        </w:tc>
        <w:tc>
          <w:tcPr>
            <w:tcW w:w="0" w:type="dxa"/>
            <w:vAlign w:val="bottom"/>
          </w:tcPr>
          <w:p>
            <w:pPr>
              <w:spacing w:after="0"/>
              <w:rPr>
                <w:sz w:val="1"/>
                <w:szCs w:val="1"/>
                <w:color w:val="auto"/>
              </w:rPr>
            </w:pPr>
          </w:p>
        </w:tc>
      </w:tr>
      <w:tr>
        <w:trPr>
          <w:trHeight w:val="177"/>
        </w:trPr>
        <w:tc>
          <w:tcPr>
            <w:tcW w:w="90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00" w:type="dxa"/>
            <w:vAlign w:val="bottom"/>
          </w:tcPr>
          <w:p>
            <w:pPr>
              <w:ind w:left="40"/>
              <w:spacing w:after="0"/>
              <w:rPr>
                <w:sz w:val="20"/>
                <w:szCs w:val="20"/>
                <w:color w:val="auto"/>
              </w:rPr>
            </w:pPr>
            <w:r>
              <w:rPr>
                <w:rFonts w:ascii="Arial" w:cs="Arial" w:eastAsia="Arial" w:hAnsi="Arial"/>
                <w:sz w:val="20"/>
                <w:szCs w:val="20"/>
                <w:color w:val="0000FF"/>
              </w:rPr>
              <w:t>FORT</w:t>
            </w:r>
          </w:p>
        </w:tc>
        <w:tc>
          <w:tcPr>
            <w:tcW w:w="900" w:type="dxa"/>
            <w:vAlign w:val="bottom"/>
            <w:vMerge w:val="restart"/>
          </w:tcPr>
          <w:p>
            <w:pPr>
              <w:ind w:left="160"/>
              <w:spacing w:after="0"/>
              <w:rPr>
                <w:sz w:val="20"/>
                <w:szCs w:val="20"/>
                <w:color w:val="auto"/>
              </w:rPr>
            </w:pPr>
            <w:r>
              <w:rPr>
                <w:rFonts w:ascii="Arial" w:cs="Arial" w:eastAsia="Arial" w:hAnsi="Arial"/>
                <w:sz w:val="20"/>
                <w:szCs w:val="20"/>
                <w:color w:val="0000FF"/>
              </w:rPr>
              <w:t>TX</w:t>
            </w:r>
          </w:p>
        </w:tc>
        <w:tc>
          <w:tcPr>
            <w:tcW w:w="1300" w:type="dxa"/>
            <w:vAlign w:val="bottom"/>
            <w:vMerge w:val="restart"/>
          </w:tcPr>
          <w:p>
            <w:pPr>
              <w:ind w:left="300"/>
              <w:spacing w:after="0"/>
              <w:rPr>
                <w:sz w:val="20"/>
                <w:szCs w:val="20"/>
                <w:color w:val="auto"/>
              </w:rPr>
            </w:pPr>
            <w:r>
              <w:rPr>
                <w:rFonts w:ascii="Arial" w:cs="Arial" w:eastAsia="Arial" w:hAnsi="Arial"/>
                <w:sz w:val="20"/>
                <w:szCs w:val="20"/>
                <w:color w:val="0000FF"/>
              </w:rPr>
              <w:t>76107</w:t>
            </w:r>
          </w:p>
        </w:tc>
        <w:tc>
          <w:tcPr>
            <w:tcW w:w="0" w:type="dxa"/>
            <w:vAlign w:val="bottom"/>
          </w:tcPr>
          <w:p>
            <w:pPr>
              <w:spacing w:after="0"/>
              <w:rPr>
                <w:sz w:val="1"/>
                <w:szCs w:val="1"/>
                <w:color w:val="auto"/>
              </w:rPr>
            </w:pPr>
          </w:p>
        </w:tc>
      </w:tr>
      <w:tr>
        <w:trPr>
          <w:trHeight w:val="128"/>
        </w:trPr>
        <w:tc>
          <w:tcPr>
            <w:tcW w:w="900" w:type="dxa"/>
            <w:vAlign w:val="bottom"/>
            <w:vMerge w:val="restart"/>
          </w:tcPr>
          <w:p>
            <w:pPr>
              <w:ind w:left="40"/>
              <w:spacing w:after="0"/>
              <w:rPr>
                <w:sz w:val="20"/>
                <w:szCs w:val="20"/>
                <w:color w:val="auto"/>
              </w:rPr>
            </w:pPr>
            <w:r>
              <w:rPr>
                <w:rFonts w:ascii="Arial" w:cs="Arial" w:eastAsia="Arial" w:hAnsi="Arial"/>
                <w:sz w:val="20"/>
                <w:szCs w:val="20"/>
                <w:color w:val="0000FF"/>
              </w:rPr>
              <w:t>WORTH</w:t>
            </w:r>
          </w:p>
        </w:tc>
        <w:tc>
          <w:tcPr>
            <w:tcW w:w="90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90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900" w:type="dxa"/>
            <w:vAlign w:val="bottom"/>
          </w:tcPr>
          <w:p>
            <w:pPr>
              <w:ind w:left="40"/>
              <w:spacing w:after="0"/>
              <w:rPr>
                <w:sz w:val="20"/>
                <w:szCs w:val="20"/>
                <w:color w:val="auto"/>
              </w:rPr>
            </w:pPr>
            <w:r>
              <w:rPr>
                <w:rFonts w:ascii="Arial" w:cs="Arial" w:eastAsia="Arial" w:hAnsi="Arial"/>
                <w:sz w:val="15"/>
                <w:szCs w:val="15"/>
                <w:color w:val="auto"/>
              </w:rPr>
              <w:t>(City)</w:t>
            </w:r>
          </w:p>
        </w:tc>
        <w:tc>
          <w:tcPr>
            <w:tcW w:w="900" w:type="dxa"/>
            <w:vAlign w:val="bottom"/>
          </w:tcPr>
          <w:p>
            <w:pPr>
              <w:ind w:left="16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Azitra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AZTR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r>
      <w:tr>
        <w:trPr>
          <w:trHeight w:val="190"/>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9"/>
        </w:trPr>
        <w:tc>
          <w:tcPr>
            <w:tcW w:w="1580" w:type="dxa"/>
            <w:vAlign w:val="bottom"/>
          </w:tcPr>
          <w:p>
            <w:pPr>
              <w:ind w:left="520"/>
              <w:spacing w:after="0"/>
              <w:rPr>
                <w:sz w:val="20"/>
                <w:szCs w:val="20"/>
                <w:color w:val="auto"/>
              </w:rPr>
            </w:pPr>
            <w:r>
              <w:rPr>
                <w:rFonts w:ascii="Arial" w:cs="Arial" w:eastAsia="Arial" w:hAnsi="Arial"/>
                <w:sz w:val="15"/>
                <w:szCs w:val="15"/>
                <w:color w:val="auto"/>
              </w:rPr>
              <w:t>Director</w:t>
            </w:r>
          </w:p>
        </w:tc>
        <w:tc>
          <w:tcPr>
            <w:tcW w:w="1620" w:type="dxa"/>
            <w:vAlign w:val="bottom"/>
          </w:tcPr>
          <w:p>
            <w:pPr>
              <w:ind w:left="14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44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16"/>
        </w:trPr>
        <w:tc>
          <w:tcPr>
            <w:tcW w:w="1580" w:type="dxa"/>
            <w:vAlign w:val="bottom"/>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tcPr>
          <w:p>
            <w:pPr>
              <w:ind w:left="480"/>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190"/>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66"/>
        </w:trPr>
        <w:tc>
          <w:tcPr>
            <w:tcW w:w="15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720" w:type="dxa"/>
            <w:vAlign w:val="bottom"/>
            <w:tcBorders>
              <w:bottom w:val="single" w:sz="8" w:color="2C2C2C"/>
            </w:tcBorders>
            <w:gridSpan w:val="2"/>
          </w:tcPr>
          <w:p>
            <w:pPr>
              <w:spacing w:after="0"/>
              <w:rPr>
                <w:sz w:val="23"/>
                <w:szCs w:val="23"/>
                <w:color w:val="auto"/>
              </w:rPr>
            </w:pPr>
          </w:p>
        </w:tc>
      </w:tr>
      <w:tr>
        <w:trPr>
          <w:trHeight w:val="214"/>
        </w:trPr>
        <w:tc>
          <w:tcPr>
            <w:tcW w:w="1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6. Individual or Joint/Group Filing</w:t>
            </w:r>
          </w:p>
        </w:tc>
      </w:tr>
      <w:tr>
        <w:trPr>
          <w:trHeight w:val="190"/>
        </w:trPr>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r>
      <w:tr>
        <w:trPr>
          <w:trHeight w:val="185"/>
        </w:trPr>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r>
      <w:tr>
        <w:trPr>
          <w:trHeight w:val="190"/>
        </w:trPr>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r>
      <w:tr>
        <w:trPr>
          <w:trHeight w:val="210"/>
        </w:trPr>
        <w:tc>
          <w:tcPr>
            <w:tcW w:w="1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40" w:type="dxa"/>
            <w:vAlign w:val="bottom"/>
          </w:tcPr>
          <w:p>
            <w:pPr>
              <w:ind w:left="220"/>
              <w:spacing w:after="0" w:line="210"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More than One</w:t>
            </w:r>
          </w:p>
        </w:tc>
      </w:tr>
      <w:tr>
        <w:trPr>
          <w:trHeight w:val="190"/>
        </w:trPr>
        <w:tc>
          <w:tcPr>
            <w:tcW w:w="15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Reporting Person</w:t>
            </w:r>
          </w:p>
        </w:tc>
      </w:tr>
    </w:tbl>
    <w:p>
      <w:pPr>
        <w:spacing w:after="0" w:line="181" w:lineRule="exact"/>
        <w:rPr>
          <w:sz w:val="24"/>
          <w:szCs w:val="24"/>
          <w:color w:val="auto"/>
        </w:rPr>
      </w:pPr>
    </w:p>
    <w:p>
      <w:pPr>
        <w:sectPr>
          <w:pgSz w:w="11900" w:h="16907" w:orient="portrait"/>
          <w:cols w:equalWidth="0" w:num="2">
            <w:col w:w="4740" w:space="260"/>
            <w:col w:w="5940"/>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0"/>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240"/>
        </w:trPr>
        <w:tc>
          <w:tcPr>
            <w:tcW w:w="2780" w:type="dxa"/>
            <w:vAlign w:val="bottom"/>
            <w:vMerge w:val="restart"/>
          </w:tcPr>
          <w:p>
            <w:pPr>
              <w:ind w:left="100"/>
              <w:spacing w:after="0"/>
              <w:rPr>
                <w:sz w:val="20"/>
                <w:szCs w:val="20"/>
                <w:color w:val="auto"/>
              </w:rPr>
            </w:pPr>
            <w:r>
              <w:rPr>
                <w:rFonts w:ascii="Arial" w:cs="Arial" w:eastAsia="Arial" w:hAnsi="Arial"/>
                <w:sz w:val="20"/>
                <w:szCs w:val="20"/>
                <w:color w:val="0000FF"/>
              </w:rPr>
              <w:t>Convertible Notes</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80" w:type="dxa"/>
            <w:vAlign w:val="bottom"/>
            <w:vMerge w:val="restart"/>
          </w:tcPr>
          <w:p>
            <w:pPr>
              <w:jc w:val="center"/>
              <w:ind w:left="172"/>
              <w:spacing w:after="0"/>
              <w:rPr>
                <w:sz w:val="20"/>
                <w:szCs w:val="20"/>
                <w:color w:val="auto"/>
              </w:rPr>
            </w:pPr>
            <w:r>
              <w:rPr>
                <w:rFonts w:ascii="Arial" w:cs="Arial" w:eastAsia="Arial" w:hAnsi="Arial"/>
                <w:sz w:val="20"/>
                <w:szCs w:val="20"/>
                <w:color w:val="0000FF"/>
                <w:w w:val="80"/>
              </w:rPr>
              <w:t>77,953</w:t>
            </w:r>
            <w:r>
              <w:rPr>
                <w:rFonts w:ascii="Arial" w:cs="Arial" w:eastAsia="Arial" w:hAnsi="Arial"/>
                <w:sz w:val="25"/>
                <w:szCs w:val="25"/>
                <w:color w:val="008000"/>
                <w:w w:val="80"/>
                <w:vertAlign w:val="superscript"/>
              </w:rPr>
              <w:t>(1)(2)</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0000FF"/>
              </w:rPr>
              <w:t>I</w:t>
            </w:r>
          </w:p>
        </w:tc>
        <w:tc>
          <w:tcPr>
            <w:tcW w:w="3340" w:type="dxa"/>
            <w:vAlign w:val="bottom"/>
            <w:gridSpan w:val="4"/>
          </w:tcPr>
          <w:p>
            <w:pPr>
              <w:ind w:left="560"/>
              <w:spacing w:after="0"/>
              <w:rPr>
                <w:sz w:val="20"/>
                <w:szCs w:val="20"/>
                <w:color w:val="auto"/>
              </w:rPr>
            </w:pPr>
            <w:r>
              <w:rPr>
                <w:rFonts w:ascii="Arial" w:cs="Arial" w:eastAsia="Arial" w:hAnsi="Arial"/>
                <w:sz w:val="20"/>
                <w:szCs w:val="20"/>
                <w:color w:val="0000FF"/>
              </w:rPr>
              <w:t>Directly held by Bios Fund III,</w:t>
            </w:r>
          </w:p>
        </w:tc>
        <w:tc>
          <w:tcPr>
            <w:tcW w:w="0" w:type="dxa"/>
            <w:vAlign w:val="bottom"/>
          </w:tcPr>
          <w:p>
            <w:pPr>
              <w:spacing w:after="0"/>
              <w:rPr>
                <w:sz w:val="1"/>
                <w:szCs w:val="1"/>
                <w:color w:val="auto"/>
              </w:rPr>
            </w:pPr>
          </w:p>
        </w:tc>
      </w:tr>
      <w:tr>
        <w:trPr>
          <w:trHeight w:val="190"/>
        </w:trPr>
        <w:tc>
          <w:tcPr>
            <w:tcW w:w="2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900" w:type="dxa"/>
            <w:vAlign w:val="bottom"/>
            <w:gridSpan w:val="2"/>
            <w:vMerge w:val="restart"/>
          </w:tcPr>
          <w:p>
            <w:pPr>
              <w:ind w:left="560"/>
              <w:spacing w:after="0" w:line="309" w:lineRule="exact"/>
              <w:rPr>
                <w:sz w:val="20"/>
                <w:szCs w:val="20"/>
                <w:color w:val="auto"/>
              </w:rPr>
            </w:pPr>
            <w:r>
              <w:rPr>
                <w:rFonts w:ascii="Arial" w:cs="Arial" w:eastAsia="Arial" w:hAnsi="Arial"/>
                <w:sz w:val="35"/>
                <w:szCs w:val="35"/>
                <w:color w:val="0000FF"/>
                <w:vertAlign w:val="subscript"/>
              </w:rPr>
              <w:t>LP</w:t>
            </w:r>
            <w:r>
              <w:rPr>
                <w:rFonts w:ascii="Arial" w:cs="Arial" w:eastAsia="Arial" w:hAnsi="Arial"/>
                <w:sz w:val="12"/>
                <w:szCs w:val="12"/>
                <w:color w:val="008000"/>
              </w:rPr>
              <w:t>(3)(4)</w:t>
            </w: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7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vMerge w:val="continue"/>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780" w:type="dxa"/>
            <w:vAlign w:val="bottom"/>
            <w:vMerge w:val="restart"/>
          </w:tcPr>
          <w:p>
            <w:pPr>
              <w:ind w:left="100"/>
              <w:spacing w:after="0"/>
              <w:rPr>
                <w:sz w:val="20"/>
                <w:szCs w:val="20"/>
                <w:color w:val="auto"/>
              </w:rPr>
            </w:pPr>
            <w:r>
              <w:rPr>
                <w:rFonts w:ascii="Arial" w:cs="Arial" w:eastAsia="Arial" w:hAnsi="Arial"/>
                <w:sz w:val="20"/>
                <w:szCs w:val="20"/>
                <w:color w:val="0000FF"/>
              </w:rPr>
              <w:t>Convertible Notes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vMerge w:val="restart"/>
          </w:tcPr>
          <w:p>
            <w:pPr>
              <w:jc w:val="center"/>
              <w:ind w:left="172"/>
              <w:spacing w:after="0"/>
              <w:rPr>
                <w:sz w:val="20"/>
                <w:szCs w:val="20"/>
                <w:color w:val="auto"/>
              </w:rPr>
            </w:pPr>
            <w:r>
              <w:rPr>
                <w:rFonts w:ascii="Arial" w:cs="Arial" w:eastAsia="Arial" w:hAnsi="Arial"/>
                <w:sz w:val="20"/>
                <w:szCs w:val="20"/>
                <w:color w:val="0000FF"/>
                <w:w w:val="83"/>
              </w:rPr>
              <w:t>509,141</w:t>
            </w:r>
            <w:r>
              <w:rPr>
                <w:rFonts w:ascii="Arial" w:cs="Arial" w:eastAsia="Arial" w:hAnsi="Arial"/>
                <w:sz w:val="25"/>
                <w:szCs w:val="25"/>
                <w:color w:val="008000"/>
                <w:w w:val="83"/>
                <w:vertAlign w:val="superscript"/>
              </w:rPr>
              <w:t>(1)(2)</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0000FF"/>
              </w:rPr>
              <w:t>I</w:t>
            </w:r>
          </w:p>
        </w:tc>
        <w:tc>
          <w:tcPr>
            <w:tcW w:w="3340" w:type="dxa"/>
            <w:vAlign w:val="bottom"/>
            <w:gridSpan w:val="4"/>
          </w:tcPr>
          <w:p>
            <w:pPr>
              <w:ind w:left="560"/>
              <w:spacing w:after="0"/>
              <w:rPr>
                <w:sz w:val="20"/>
                <w:szCs w:val="20"/>
                <w:color w:val="auto"/>
              </w:rPr>
            </w:pPr>
            <w:r>
              <w:rPr>
                <w:rFonts w:ascii="Arial" w:cs="Arial" w:eastAsia="Arial" w:hAnsi="Arial"/>
                <w:sz w:val="20"/>
                <w:szCs w:val="20"/>
                <w:color w:val="0000FF"/>
              </w:rPr>
              <w:t>Directly held by Bios Fund III</w:t>
            </w:r>
          </w:p>
        </w:tc>
        <w:tc>
          <w:tcPr>
            <w:tcW w:w="0" w:type="dxa"/>
            <w:vAlign w:val="bottom"/>
          </w:tcPr>
          <w:p>
            <w:pPr>
              <w:spacing w:after="0"/>
              <w:rPr>
                <w:sz w:val="1"/>
                <w:szCs w:val="1"/>
                <w:color w:val="auto"/>
              </w:rPr>
            </w:pPr>
          </w:p>
        </w:tc>
      </w:tr>
      <w:tr>
        <w:trPr>
          <w:trHeight w:val="190"/>
        </w:trPr>
        <w:tc>
          <w:tcPr>
            <w:tcW w:w="2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900" w:type="dxa"/>
            <w:vAlign w:val="bottom"/>
            <w:gridSpan w:val="2"/>
            <w:vMerge w:val="restart"/>
          </w:tcPr>
          <w:p>
            <w:pPr>
              <w:ind w:left="560"/>
              <w:spacing w:after="0" w:line="309" w:lineRule="exact"/>
              <w:rPr>
                <w:sz w:val="20"/>
                <w:szCs w:val="20"/>
                <w:color w:val="auto"/>
              </w:rPr>
            </w:pPr>
            <w:r>
              <w:rPr>
                <w:rFonts w:ascii="Arial" w:cs="Arial" w:eastAsia="Arial" w:hAnsi="Arial"/>
                <w:sz w:val="35"/>
                <w:szCs w:val="35"/>
                <w:color w:val="0000FF"/>
                <w:vertAlign w:val="subscript"/>
              </w:rPr>
              <w:t>QP, LP</w:t>
            </w:r>
            <w:r>
              <w:rPr>
                <w:rFonts w:ascii="Arial" w:cs="Arial" w:eastAsia="Arial" w:hAnsi="Arial"/>
                <w:sz w:val="12"/>
                <w:szCs w:val="12"/>
                <w:color w:val="008000"/>
              </w:rPr>
              <w:t>(3)(4)</w:t>
            </w: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7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gridSpan w:val="2"/>
            <w:vMerge w:val="continue"/>
          </w:tcPr>
          <w:p>
            <w:pPr>
              <w:spacing w:after="0"/>
              <w:rPr>
                <w:sz w:val="11"/>
                <w:szCs w:val="11"/>
                <w:color w:val="auto"/>
              </w:rPr>
            </w:pPr>
          </w:p>
        </w:tc>
        <w:tc>
          <w:tcPr>
            <w:tcW w:w="14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0"/>
        </w:trPr>
        <w:tc>
          <w:tcPr>
            <w:tcW w:w="2780" w:type="dxa"/>
            <w:vAlign w:val="bottom"/>
            <w:vMerge w:val="restart"/>
          </w:tcPr>
          <w:p>
            <w:pPr>
              <w:ind w:left="100"/>
              <w:spacing w:after="0"/>
              <w:rPr>
                <w:sz w:val="20"/>
                <w:szCs w:val="20"/>
                <w:color w:val="auto"/>
              </w:rPr>
            </w:pPr>
            <w:r>
              <w:rPr>
                <w:rFonts w:ascii="Arial" w:cs="Arial" w:eastAsia="Arial" w:hAnsi="Arial"/>
                <w:sz w:val="20"/>
                <w:szCs w:val="20"/>
                <w:color w:val="0000FF"/>
              </w:rPr>
              <w:t>Convertible Notes</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vMerge w:val="restart"/>
          </w:tcPr>
          <w:p>
            <w:pPr>
              <w:jc w:val="center"/>
              <w:ind w:left="172"/>
              <w:spacing w:after="0"/>
              <w:rPr>
                <w:sz w:val="20"/>
                <w:szCs w:val="20"/>
                <w:color w:val="auto"/>
              </w:rPr>
            </w:pPr>
            <w:r>
              <w:rPr>
                <w:rFonts w:ascii="Arial" w:cs="Arial" w:eastAsia="Arial" w:hAnsi="Arial"/>
                <w:sz w:val="39"/>
                <w:szCs w:val="39"/>
                <w:color w:val="0000FF"/>
                <w:w w:val="73"/>
                <w:vertAlign w:val="subscript"/>
              </w:rPr>
              <w:t>82,223</w:t>
            </w:r>
            <w:r>
              <w:rPr>
                <w:rFonts w:ascii="Arial" w:cs="Arial" w:eastAsia="Arial" w:hAnsi="Arial"/>
                <w:sz w:val="13"/>
                <w:szCs w:val="13"/>
                <w:color w:val="008000"/>
                <w:w w:val="73"/>
              </w:rPr>
              <w:t>(1)(2)</w:t>
            </w:r>
          </w:p>
        </w:tc>
        <w:tc>
          <w:tcPr>
            <w:tcW w:w="1040" w:type="dxa"/>
            <w:vAlign w:val="bottom"/>
            <w:vMerge w:val="restart"/>
          </w:tcPr>
          <w:p>
            <w:pPr>
              <w:jc w:val="right"/>
              <w:spacing w:after="0"/>
              <w:rPr>
                <w:sz w:val="20"/>
                <w:szCs w:val="20"/>
                <w:color w:val="auto"/>
              </w:rPr>
            </w:pPr>
            <w:r>
              <w:rPr>
                <w:rFonts w:ascii="Arial" w:cs="Arial" w:eastAsia="Arial" w:hAnsi="Arial"/>
                <w:sz w:val="20"/>
                <w:szCs w:val="20"/>
                <w:color w:val="0000FF"/>
              </w:rPr>
              <w:t>I</w:t>
            </w:r>
          </w:p>
        </w:tc>
        <w:tc>
          <w:tcPr>
            <w:tcW w:w="3340" w:type="dxa"/>
            <w:vAlign w:val="bottom"/>
            <w:gridSpan w:val="4"/>
          </w:tcPr>
          <w:p>
            <w:pPr>
              <w:ind w:left="560"/>
              <w:spacing w:after="0"/>
              <w:rPr>
                <w:sz w:val="20"/>
                <w:szCs w:val="20"/>
                <w:color w:val="auto"/>
              </w:rPr>
            </w:pPr>
            <w:r>
              <w:rPr>
                <w:rFonts w:ascii="Arial" w:cs="Arial" w:eastAsia="Arial" w:hAnsi="Arial"/>
                <w:sz w:val="20"/>
                <w:szCs w:val="20"/>
                <w:color w:val="0000FF"/>
              </w:rPr>
              <w:t>Directly held by Bios Fund III</w:t>
            </w:r>
          </w:p>
        </w:tc>
        <w:tc>
          <w:tcPr>
            <w:tcW w:w="0" w:type="dxa"/>
            <w:vAlign w:val="bottom"/>
          </w:tcPr>
          <w:p>
            <w:pPr>
              <w:spacing w:after="0"/>
              <w:rPr>
                <w:sz w:val="1"/>
                <w:szCs w:val="1"/>
                <w:color w:val="auto"/>
              </w:rPr>
            </w:pPr>
          </w:p>
        </w:tc>
      </w:tr>
      <w:tr>
        <w:trPr>
          <w:trHeight w:val="190"/>
        </w:trPr>
        <w:tc>
          <w:tcPr>
            <w:tcW w:w="2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900" w:type="dxa"/>
            <w:vAlign w:val="bottom"/>
            <w:gridSpan w:val="2"/>
            <w:vMerge w:val="restart"/>
          </w:tcPr>
          <w:p>
            <w:pPr>
              <w:ind w:left="560"/>
              <w:spacing w:after="0" w:line="309" w:lineRule="exact"/>
              <w:rPr>
                <w:sz w:val="20"/>
                <w:szCs w:val="20"/>
                <w:color w:val="auto"/>
              </w:rPr>
            </w:pPr>
            <w:r>
              <w:rPr>
                <w:rFonts w:ascii="Arial" w:cs="Arial" w:eastAsia="Arial" w:hAnsi="Arial"/>
                <w:sz w:val="35"/>
                <w:szCs w:val="35"/>
                <w:color w:val="0000FF"/>
                <w:vertAlign w:val="subscript"/>
              </w:rPr>
              <w:t>NT, LP</w:t>
            </w:r>
            <w:r>
              <w:rPr>
                <w:rFonts w:ascii="Arial" w:cs="Arial" w:eastAsia="Arial" w:hAnsi="Arial"/>
                <w:sz w:val="12"/>
                <w:szCs w:val="12"/>
                <w:color w:val="008000"/>
              </w:rPr>
              <w:t>(3)(4)</w:t>
            </w: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7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9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900" w:type="dxa"/>
            <w:vAlign w:val="bottom"/>
            <w:tcBorders>
              <w:bottom w:val="single" w:sz="8" w:color="2C2C2C"/>
            </w:tcBorders>
            <w:gridSpan w:val="2"/>
            <w:vMerge w:val="continue"/>
          </w:tcPr>
          <w:p>
            <w:pPr>
              <w:spacing w:after="0"/>
              <w:rPr>
                <w:sz w:val="14"/>
                <w:szCs w:val="14"/>
                <w:color w:val="auto"/>
              </w:rPr>
            </w:pPr>
          </w:p>
        </w:tc>
        <w:tc>
          <w:tcPr>
            <w:tcW w:w="142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780" w:type="dxa"/>
            <w:vAlign w:val="bottom"/>
            <w:tcBorders>
              <w:top w:val="single" w:sz="8" w:color="2C2C2C"/>
              <w:left w:val="single" w:sz="8" w:color="808080"/>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560" w:type="dxa"/>
            <w:vAlign w:val="bottom"/>
            <w:tcBorders>
              <w:top w:val="single" w:sz="8" w:color="2C2C2C"/>
            </w:tcBorders>
            <w:gridSpan w:val="5"/>
          </w:tcPr>
          <w:p>
            <w:pPr>
              <w:jc w:val="right"/>
              <w:ind w:right="748"/>
              <w:spacing w:after="0"/>
              <w:rPr>
                <w:sz w:val="20"/>
                <w:szCs w:val="20"/>
                <w:color w:val="auto"/>
              </w:rPr>
            </w:pPr>
            <w:r>
              <w:rPr>
                <w:rFonts w:ascii="Arial" w:cs="Arial" w:eastAsia="Arial" w:hAnsi="Arial"/>
                <w:sz w:val="20"/>
                <w:szCs w:val="20"/>
                <w:b w:val="1"/>
                <w:bCs w:val="1"/>
                <w:color w:val="auto"/>
                <w:w w:val="99"/>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780" w:type="dxa"/>
            <w:vAlign w:val="bottom"/>
            <w:tcBorders>
              <w:left w:val="single" w:sz="8" w:color="808080"/>
            </w:tcBorders>
          </w:tcPr>
          <w:p>
            <w:pPr>
              <w:spacing w:after="0"/>
              <w:rPr>
                <w:sz w:val="23"/>
                <w:szCs w:val="23"/>
                <w:color w:val="auto"/>
              </w:rPr>
            </w:pPr>
          </w:p>
        </w:tc>
        <w:tc>
          <w:tcPr>
            <w:tcW w:w="5800" w:type="dxa"/>
            <w:vAlign w:val="bottom"/>
            <w:gridSpan w:val="6"/>
          </w:tcPr>
          <w:p>
            <w:pPr>
              <w:jc w:val="right"/>
              <w:ind w:right="348"/>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9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780" w:type="dxa"/>
            <w:vAlign w:val="bottom"/>
            <w:tcBorders>
              <w:left w:val="single" w:sz="8" w:color="808080"/>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780" w:type="dxa"/>
            <w:vAlign w:val="bottom"/>
            <w:tcBorders>
              <w:left w:val="single" w:sz="8" w:color="808080"/>
            </w:tcBorders>
          </w:tcPr>
          <w:p>
            <w:pPr>
              <w:ind w:left="10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40" w:type="dxa"/>
            <w:vAlign w:val="bottom"/>
          </w:tcPr>
          <w:p>
            <w:pPr>
              <w:spacing w:after="0"/>
              <w:rPr>
                <w:sz w:val="17"/>
                <w:szCs w:val="17"/>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780" w:type="dxa"/>
            <w:vAlign w:val="bottom"/>
            <w:tcBorders>
              <w:left w:val="single" w:sz="8" w:color="808080"/>
            </w:tcBorders>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780" w:type="dxa"/>
            <w:vAlign w:val="bottom"/>
            <w:tcBorders>
              <w:left w:val="single" w:sz="8" w:color="808080"/>
            </w:tcBorders>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780" w:type="dxa"/>
            <w:vAlign w:val="bottom"/>
            <w:tcBorders>
              <w:left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780" w:type="dxa"/>
            <w:vAlign w:val="bottom"/>
            <w:tcBorders>
              <w:left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jc w:val="right"/>
              <w:ind w:right="8"/>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780" w:type="dxa"/>
            <w:vAlign w:val="bottom"/>
            <w:tcBorders>
              <w:left w:val="single" w:sz="8" w:color="808080"/>
            </w:tcBorders>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8"/>
              </w:rPr>
              <w:t>Expiration</w:t>
            </w:r>
          </w:p>
        </w:tc>
        <w:tc>
          <w:tcPr>
            <w:tcW w:w="16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80" w:type="dxa"/>
            <w:vAlign w:val="bottom"/>
            <w:tcBorders>
              <w:left w:val="single" w:sz="8" w:color="808080"/>
            </w:tcBorders>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tcBorders>
              <w:left w:val="single" w:sz="8" w:color="808080"/>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780" w:type="dxa"/>
            <w:vAlign w:val="bottom"/>
            <w:tcBorders>
              <w:left w:val="single" w:sz="8" w:color="808080"/>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780" w:type="dxa"/>
            <w:vAlign w:val="bottom"/>
            <w:tcBorders>
              <w:left w:val="single" w:sz="8" w:color="808080"/>
            </w:tcBorders>
            <w:vMerge w:val="restart"/>
          </w:tcPr>
          <w:p>
            <w:pPr>
              <w:ind w:left="100"/>
              <w:spacing w:after="0"/>
              <w:rPr>
                <w:sz w:val="20"/>
                <w:szCs w:val="20"/>
                <w:color w:val="auto"/>
              </w:rPr>
            </w:pPr>
            <w:r>
              <w:rPr>
                <w:rFonts w:ascii="Arial" w:cs="Arial" w:eastAsia="Arial" w:hAnsi="Arial"/>
                <w:sz w:val="20"/>
                <w:szCs w:val="20"/>
                <w:color w:val="0000FF"/>
                <w:w w:val="98"/>
              </w:rPr>
              <w:t>Series A Convertible Preferred</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20"/>
                <w:szCs w:val="20"/>
                <w:color w:val="0000FF"/>
                <w:w w:val="97"/>
              </w:rPr>
              <w:t>Directly held by</w:t>
            </w:r>
          </w:p>
        </w:tc>
        <w:tc>
          <w:tcPr>
            <w:tcW w:w="0" w:type="dxa"/>
            <w:vAlign w:val="bottom"/>
          </w:tcPr>
          <w:p>
            <w:pPr>
              <w:spacing w:after="0"/>
              <w:rPr>
                <w:sz w:val="1"/>
                <w:szCs w:val="1"/>
                <w:color w:val="auto"/>
              </w:rPr>
            </w:pPr>
          </w:p>
        </w:tc>
      </w:tr>
      <w:tr>
        <w:trPr>
          <w:trHeight w:val="120"/>
        </w:trPr>
        <w:tc>
          <w:tcPr>
            <w:tcW w:w="2780" w:type="dxa"/>
            <w:vAlign w:val="bottom"/>
            <w:tcBorders>
              <w:left w:val="single" w:sz="8" w:color="808080"/>
            </w:tcBorders>
            <w:vMerge w:val="continue"/>
          </w:tcPr>
          <w:p>
            <w:pPr>
              <w:spacing w:after="0"/>
              <w:rPr>
                <w:sz w:val="10"/>
                <w:szCs w:val="10"/>
                <w:color w:val="auto"/>
              </w:rPr>
            </w:pPr>
          </w:p>
        </w:tc>
        <w:tc>
          <w:tcPr>
            <w:tcW w:w="122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(5)</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rPr>
              <w:t>(5)</w:t>
            </w: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vMerge w:val="restart"/>
          </w:tcPr>
          <w:p>
            <w:pPr>
              <w:jc w:val="right"/>
              <w:spacing w:after="0" w:line="240" w:lineRule="exact"/>
              <w:rPr>
                <w:sz w:val="20"/>
                <w:szCs w:val="20"/>
                <w:color w:val="auto"/>
              </w:rPr>
            </w:pPr>
            <w:r>
              <w:rPr>
                <w:rFonts w:ascii="Arial" w:cs="Arial" w:eastAsia="Arial" w:hAnsi="Arial"/>
                <w:sz w:val="20"/>
                <w:szCs w:val="20"/>
                <w:color w:val="0000FF"/>
              </w:rPr>
              <w:t>467,613</w:t>
            </w:r>
            <w:r>
              <w:rPr>
                <w:rFonts w:ascii="Arial" w:cs="Arial" w:eastAsia="Arial" w:hAnsi="Arial"/>
                <w:sz w:val="25"/>
                <w:szCs w:val="25"/>
                <w:color w:val="008000"/>
                <w:vertAlign w:val="superscript"/>
              </w:rPr>
              <w:t>(2)</w:t>
            </w:r>
          </w:p>
        </w:tc>
        <w:tc>
          <w:tcPr>
            <w:tcW w:w="980" w:type="dxa"/>
            <w:vAlign w:val="bottom"/>
            <w:vMerge w:val="restart"/>
          </w:tcPr>
          <w:p>
            <w:pPr>
              <w:jc w:val="right"/>
              <w:ind w:right="348"/>
              <w:spacing w:after="0"/>
              <w:rPr>
                <w:sz w:val="20"/>
                <w:szCs w:val="20"/>
                <w:color w:val="auto"/>
              </w:rPr>
            </w:pPr>
            <w:r>
              <w:rPr>
                <w:rFonts w:ascii="Arial" w:cs="Arial" w:eastAsia="Arial" w:hAnsi="Arial"/>
                <w:sz w:val="13"/>
                <w:szCs w:val="13"/>
                <w:color w:val="008000"/>
              </w:rPr>
              <w:t>(5)</w:t>
            </w:r>
          </w:p>
        </w:tc>
        <w:tc>
          <w:tcPr>
            <w:tcW w:w="92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440" w:type="dxa"/>
            <w:vAlign w:val="bottom"/>
            <w:gridSpan w:val="2"/>
            <w:vMerge w:val="restart"/>
          </w:tcPr>
          <w:p>
            <w:pPr>
              <w:ind w:left="80"/>
              <w:spacing w:after="0"/>
              <w:rPr>
                <w:sz w:val="20"/>
                <w:szCs w:val="20"/>
                <w:color w:val="auto"/>
              </w:rPr>
            </w:pPr>
            <w:r>
              <w:rPr>
                <w:rFonts w:ascii="Arial" w:cs="Arial" w:eastAsia="Arial" w:hAnsi="Arial"/>
                <w:sz w:val="20"/>
                <w:szCs w:val="20"/>
                <w:color w:val="0000FF"/>
                <w:w w:val="94"/>
              </w:rPr>
              <w:t>Bios Fund I QP,</w:t>
            </w:r>
          </w:p>
        </w:tc>
        <w:tc>
          <w:tcPr>
            <w:tcW w:w="0" w:type="dxa"/>
            <w:vAlign w:val="bottom"/>
          </w:tcPr>
          <w:p>
            <w:pPr>
              <w:spacing w:after="0"/>
              <w:rPr>
                <w:sz w:val="1"/>
                <w:szCs w:val="1"/>
                <w:color w:val="auto"/>
              </w:rPr>
            </w:pPr>
          </w:p>
        </w:tc>
      </w:tr>
      <w:tr>
        <w:trPr>
          <w:trHeight w:val="120"/>
        </w:trPr>
        <w:tc>
          <w:tcPr>
            <w:tcW w:w="2780" w:type="dxa"/>
            <w:vAlign w:val="bottom"/>
            <w:tcBorders>
              <w:left w:val="single" w:sz="8" w:color="808080"/>
            </w:tcBorders>
            <w:vMerge w:val="restart"/>
          </w:tcPr>
          <w:p>
            <w:pPr>
              <w:ind w:left="100"/>
              <w:spacing w:after="0"/>
              <w:rPr>
                <w:sz w:val="20"/>
                <w:szCs w:val="20"/>
                <w:color w:val="auto"/>
              </w:rPr>
            </w:pPr>
            <w:r>
              <w:rPr>
                <w:rFonts w:ascii="Arial" w:cs="Arial" w:eastAsia="Arial" w:hAnsi="Arial"/>
                <w:sz w:val="20"/>
                <w:szCs w:val="20"/>
                <w:color w:val="0000FF"/>
              </w:rPr>
              <w:t>Stock</w:t>
            </w:r>
          </w:p>
        </w:tc>
        <w:tc>
          <w:tcPr>
            <w:tcW w:w="12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780" w:type="dxa"/>
            <w:vAlign w:val="bottom"/>
            <w:tcBorders>
              <w:left w:val="single" w:sz="8" w:color="808080"/>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vMerge w:val="restart"/>
          </w:tcPr>
          <w:p>
            <w:pPr>
              <w:ind w:left="80"/>
              <w:spacing w:after="0" w:line="309" w:lineRule="exact"/>
              <w:rPr>
                <w:sz w:val="20"/>
                <w:szCs w:val="20"/>
                <w:color w:val="auto"/>
              </w:rPr>
            </w:pPr>
            <w:r>
              <w:rPr>
                <w:rFonts w:ascii="Arial" w:cs="Arial" w:eastAsia="Arial" w:hAnsi="Arial"/>
                <w:sz w:val="35"/>
                <w:szCs w:val="35"/>
                <w:color w:val="0000FF"/>
                <w:vertAlign w:val="subscript"/>
              </w:rPr>
              <w:t>LP</w:t>
            </w:r>
            <w:r>
              <w:rPr>
                <w:rFonts w:ascii="Arial" w:cs="Arial" w:eastAsia="Arial" w:hAnsi="Arial"/>
                <w:sz w:val="12"/>
                <w:szCs w:val="12"/>
                <w:color w:val="008000"/>
              </w:rPr>
              <w:t>(3)(4)</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780" w:type="dxa"/>
            <w:vAlign w:val="bottom"/>
            <w:tcBorders>
              <w:left w:val="single" w:sz="8" w:color="808080"/>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780" w:type="dxa"/>
            <w:vAlign w:val="bottom"/>
            <w:tcBorders>
              <w:left w:val="single" w:sz="8" w:color="808080"/>
            </w:tcBorders>
            <w:vMerge w:val="restart"/>
          </w:tcPr>
          <w:p>
            <w:pPr>
              <w:ind w:left="100"/>
              <w:spacing w:after="0"/>
              <w:rPr>
                <w:sz w:val="20"/>
                <w:szCs w:val="20"/>
                <w:color w:val="auto"/>
              </w:rPr>
            </w:pPr>
            <w:r>
              <w:rPr>
                <w:rFonts w:ascii="Arial" w:cs="Arial" w:eastAsia="Arial" w:hAnsi="Arial"/>
                <w:sz w:val="20"/>
                <w:szCs w:val="20"/>
                <w:color w:val="0000FF"/>
                <w:w w:val="98"/>
              </w:rPr>
              <w:t>Series A Convertible Preferred</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20"/>
                <w:szCs w:val="20"/>
                <w:color w:val="0000FF"/>
                <w:w w:val="97"/>
              </w:rPr>
              <w:t>Directly held by</w:t>
            </w:r>
          </w:p>
        </w:tc>
        <w:tc>
          <w:tcPr>
            <w:tcW w:w="0" w:type="dxa"/>
            <w:vAlign w:val="bottom"/>
          </w:tcPr>
          <w:p>
            <w:pPr>
              <w:spacing w:after="0"/>
              <w:rPr>
                <w:sz w:val="1"/>
                <w:szCs w:val="1"/>
                <w:color w:val="auto"/>
              </w:rPr>
            </w:pPr>
          </w:p>
        </w:tc>
      </w:tr>
      <w:tr>
        <w:trPr>
          <w:trHeight w:val="120"/>
        </w:trPr>
        <w:tc>
          <w:tcPr>
            <w:tcW w:w="2780" w:type="dxa"/>
            <w:vAlign w:val="bottom"/>
            <w:tcBorders>
              <w:left w:val="single" w:sz="8" w:color="808080"/>
            </w:tcBorders>
            <w:vMerge w:val="continue"/>
          </w:tcPr>
          <w:p>
            <w:pPr>
              <w:spacing w:after="0"/>
              <w:rPr>
                <w:sz w:val="10"/>
                <w:szCs w:val="10"/>
                <w:color w:val="auto"/>
              </w:rPr>
            </w:pPr>
          </w:p>
        </w:tc>
        <w:tc>
          <w:tcPr>
            <w:tcW w:w="122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(5)</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rPr>
              <w:t>(5)</w:t>
            </w: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vMerge w:val="restart"/>
          </w:tcPr>
          <w:p>
            <w:pPr>
              <w:jc w:val="right"/>
              <w:spacing w:after="0" w:line="240" w:lineRule="exact"/>
              <w:rPr>
                <w:sz w:val="20"/>
                <w:szCs w:val="20"/>
                <w:color w:val="auto"/>
              </w:rPr>
            </w:pPr>
            <w:r>
              <w:rPr>
                <w:rFonts w:ascii="Arial" w:cs="Arial" w:eastAsia="Arial" w:hAnsi="Arial"/>
                <w:sz w:val="20"/>
                <w:szCs w:val="20"/>
                <w:color w:val="0000FF"/>
              </w:rPr>
              <w:t>799,467</w:t>
            </w:r>
            <w:r>
              <w:rPr>
                <w:rFonts w:ascii="Arial" w:cs="Arial" w:eastAsia="Arial" w:hAnsi="Arial"/>
                <w:sz w:val="25"/>
                <w:szCs w:val="25"/>
                <w:color w:val="008000"/>
                <w:vertAlign w:val="superscript"/>
              </w:rPr>
              <w:t>(2)</w:t>
            </w:r>
          </w:p>
        </w:tc>
        <w:tc>
          <w:tcPr>
            <w:tcW w:w="980" w:type="dxa"/>
            <w:vAlign w:val="bottom"/>
            <w:vMerge w:val="restart"/>
          </w:tcPr>
          <w:p>
            <w:pPr>
              <w:jc w:val="right"/>
              <w:ind w:right="348"/>
              <w:spacing w:after="0"/>
              <w:rPr>
                <w:sz w:val="20"/>
                <w:szCs w:val="20"/>
                <w:color w:val="auto"/>
              </w:rPr>
            </w:pPr>
            <w:r>
              <w:rPr>
                <w:rFonts w:ascii="Arial" w:cs="Arial" w:eastAsia="Arial" w:hAnsi="Arial"/>
                <w:sz w:val="13"/>
                <w:szCs w:val="13"/>
                <w:color w:val="008000"/>
              </w:rPr>
              <w:t>(5)</w:t>
            </w:r>
          </w:p>
        </w:tc>
        <w:tc>
          <w:tcPr>
            <w:tcW w:w="92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440" w:type="dxa"/>
            <w:vAlign w:val="bottom"/>
            <w:gridSpan w:val="2"/>
            <w:vMerge w:val="restart"/>
          </w:tcPr>
          <w:p>
            <w:pPr>
              <w:ind w:left="80"/>
              <w:spacing w:after="0"/>
              <w:rPr>
                <w:sz w:val="20"/>
                <w:szCs w:val="20"/>
                <w:color w:val="auto"/>
              </w:rPr>
            </w:pPr>
            <w:r>
              <w:rPr>
                <w:rFonts w:ascii="Arial" w:cs="Arial" w:eastAsia="Arial" w:hAnsi="Arial"/>
                <w:sz w:val="20"/>
                <w:szCs w:val="20"/>
                <w:color w:val="0000FF"/>
              </w:rPr>
              <w:t>Bios Fund I,</w:t>
            </w:r>
          </w:p>
        </w:tc>
        <w:tc>
          <w:tcPr>
            <w:tcW w:w="0" w:type="dxa"/>
            <w:vAlign w:val="bottom"/>
          </w:tcPr>
          <w:p>
            <w:pPr>
              <w:spacing w:after="0"/>
              <w:rPr>
                <w:sz w:val="1"/>
                <w:szCs w:val="1"/>
                <w:color w:val="auto"/>
              </w:rPr>
            </w:pPr>
          </w:p>
        </w:tc>
      </w:tr>
      <w:tr>
        <w:trPr>
          <w:trHeight w:val="120"/>
        </w:trPr>
        <w:tc>
          <w:tcPr>
            <w:tcW w:w="2780" w:type="dxa"/>
            <w:vAlign w:val="bottom"/>
            <w:tcBorders>
              <w:left w:val="single" w:sz="8" w:color="808080"/>
            </w:tcBorders>
            <w:vMerge w:val="restart"/>
          </w:tcPr>
          <w:p>
            <w:pPr>
              <w:ind w:left="100"/>
              <w:spacing w:after="0"/>
              <w:rPr>
                <w:sz w:val="20"/>
                <w:szCs w:val="20"/>
                <w:color w:val="auto"/>
              </w:rPr>
            </w:pPr>
            <w:r>
              <w:rPr>
                <w:rFonts w:ascii="Arial" w:cs="Arial" w:eastAsia="Arial" w:hAnsi="Arial"/>
                <w:sz w:val="20"/>
                <w:szCs w:val="20"/>
                <w:color w:val="0000FF"/>
              </w:rPr>
              <w:t>Stock</w:t>
            </w:r>
          </w:p>
        </w:tc>
        <w:tc>
          <w:tcPr>
            <w:tcW w:w="12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780" w:type="dxa"/>
            <w:vAlign w:val="bottom"/>
            <w:tcBorders>
              <w:left w:val="single" w:sz="8" w:color="808080"/>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vMerge w:val="restart"/>
          </w:tcPr>
          <w:p>
            <w:pPr>
              <w:ind w:left="80"/>
              <w:spacing w:after="0" w:line="309" w:lineRule="exact"/>
              <w:rPr>
                <w:sz w:val="20"/>
                <w:szCs w:val="20"/>
                <w:color w:val="auto"/>
              </w:rPr>
            </w:pPr>
            <w:r>
              <w:rPr>
                <w:rFonts w:ascii="Arial" w:cs="Arial" w:eastAsia="Arial" w:hAnsi="Arial"/>
                <w:sz w:val="35"/>
                <w:szCs w:val="35"/>
                <w:color w:val="0000FF"/>
                <w:vertAlign w:val="subscript"/>
              </w:rPr>
              <w:t>LP</w:t>
            </w:r>
            <w:r>
              <w:rPr>
                <w:rFonts w:ascii="Arial" w:cs="Arial" w:eastAsia="Arial" w:hAnsi="Arial"/>
                <w:sz w:val="12"/>
                <w:szCs w:val="12"/>
                <w:color w:val="008000"/>
              </w:rPr>
              <w:t>(3)(4)</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780" w:type="dxa"/>
            <w:vAlign w:val="bottom"/>
            <w:tcBorders>
              <w:left w:val="single" w:sz="8" w:color="808080"/>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780" w:type="dxa"/>
            <w:vAlign w:val="bottom"/>
            <w:tcBorders>
              <w:left w:val="single" w:sz="8" w:color="808080"/>
            </w:tcBorders>
            <w:vMerge w:val="restart"/>
          </w:tcPr>
          <w:p>
            <w:pPr>
              <w:ind w:left="100"/>
              <w:spacing w:after="0"/>
              <w:rPr>
                <w:sz w:val="20"/>
                <w:szCs w:val="20"/>
                <w:color w:val="auto"/>
              </w:rPr>
            </w:pPr>
            <w:r>
              <w:rPr>
                <w:rFonts w:ascii="Arial" w:cs="Arial" w:eastAsia="Arial" w:hAnsi="Arial"/>
                <w:sz w:val="20"/>
                <w:szCs w:val="20"/>
                <w:color w:val="0000FF"/>
                <w:w w:val="92"/>
              </w:rPr>
              <w:t>Series A-1 Convertible Preferred</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20"/>
                <w:szCs w:val="20"/>
                <w:color w:val="0000FF"/>
                <w:w w:val="97"/>
              </w:rPr>
              <w:t>Directly held by</w:t>
            </w:r>
          </w:p>
        </w:tc>
        <w:tc>
          <w:tcPr>
            <w:tcW w:w="0" w:type="dxa"/>
            <w:vAlign w:val="bottom"/>
          </w:tcPr>
          <w:p>
            <w:pPr>
              <w:spacing w:after="0"/>
              <w:rPr>
                <w:sz w:val="1"/>
                <w:szCs w:val="1"/>
                <w:color w:val="auto"/>
              </w:rPr>
            </w:pPr>
          </w:p>
        </w:tc>
      </w:tr>
      <w:tr>
        <w:trPr>
          <w:trHeight w:val="120"/>
        </w:trPr>
        <w:tc>
          <w:tcPr>
            <w:tcW w:w="2780" w:type="dxa"/>
            <w:vAlign w:val="bottom"/>
            <w:tcBorders>
              <w:left w:val="single" w:sz="8" w:color="808080"/>
            </w:tcBorders>
            <w:vMerge w:val="continue"/>
          </w:tcPr>
          <w:p>
            <w:pPr>
              <w:spacing w:after="0"/>
              <w:rPr>
                <w:sz w:val="10"/>
                <w:szCs w:val="10"/>
                <w:color w:val="auto"/>
              </w:rPr>
            </w:pPr>
          </w:p>
        </w:tc>
        <w:tc>
          <w:tcPr>
            <w:tcW w:w="122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rPr>
              <w:t>(6)</w:t>
            </w: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vMerge w:val="restart"/>
          </w:tcPr>
          <w:p>
            <w:pPr>
              <w:jc w:val="right"/>
              <w:spacing w:after="0" w:line="240" w:lineRule="exact"/>
              <w:rPr>
                <w:sz w:val="20"/>
                <w:szCs w:val="20"/>
                <w:color w:val="auto"/>
              </w:rPr>
            </w:pPr>
            <w:r>
              <w:rPr>
                <w:rFonts w:ascii="Arial" w:cs="Arial" w:eastAsia="Arial" w:hAnsi="Arial"/>
                <w:sz w:val="20"/>
                <w:szCs w:val="20"/>
                <w:color w:val="0000FF"/>
              </w:rPr>
              <w:t>232,908</w:t>
            </w:r>
            <w:r>
              <w:rPr>
                <w:rFonts w:ascii="Arial" w:cs="Arial" w:eastAsia="Arial" w:hAnsi="Arial"/>
                <w:sz w:val="25"/>
                <w:szCs w:val="25"/>
                <w:color w:val="008000"/>
                <w:vertAlign w:val="superscript"/>
              </w:rPr>
              <w:t>(2)</w:t>
            </w:r>
          </w:p>
        </w:tc>
        <w:tc>
          <w:tcPr>
            <w:tcW w:w="980" w:type="dxa"/>
            <w:vAlign w:val="bottom"/>
            <w:vMerge w:val="restart"/>
          </w:tcPr>
          <w:p>
            <w:pPr>
              <w:jc w:val="right"/>
              <w:ind w:right="348"/>
              <w:spacing w:after="0"/>
              <w:rPr>
                <w:sz w:val="20"/>
                <w:szCs w:val="20"/>
                <w:color w:val="auto"/>
              </w:rPr>
            </w:pPr>
            <w:r>
              <w:rPr>
                <w:rFonts w:ascii="Arial" w:cs="Arial" w:eastAsia="Arial" w:hAnsi="Arial"/>
                <w:sz w:val="13"/>
                <w:szCs w:val="13"/>
                <w:color w:val="008000"/>
              </w:rPr>
              <w:t>(6)</w:t>
            </w:r>
          </w:p>
        </w:tc>
        <w:tc>
          <w:tcPr>
            <w:tcW w:w="92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440" w:type="dxa"/>
            <w:vAlign w:val="bottom"/>
            <w:gridSpan w:val="2"/>
            <w:vMerge w:val="restart"/>
          </w:tcPr>
          <w:p>
            <w:pPr>
              <w:ind w:left="80"/>
              <w:spacing w:after="0"/>
              <w:rPr>
                <w:sz w:val="20"/>
                <w:szCs w:val="20"/>
                <w:color w:val="auto"/>
              </w:rPr>
            </w:pPr>
            <w:r>
              <w:rPr>
                <w:rFonts w:ascii="Arial" w:cs="Arial" w:eastAsia="Arial" w:hAnsi="Arial"/>
                <w:sz w:val="20"/>
                <w:szCs w:val="20"/>
                <w:color w:val="0000FF"/>
              </w:rPr>
              <w:t>Bios Fund II,</w:t>
            </w:r>
          </w:p>
        </w:tc>
        <w:tc>
          <w:tcPr>
            <w:tcW w:w="0" w:type="dxa"/>
            <w:vAlign w:val="bottom"/>
          </w:tcPr>
          <w:p>
            <w:pPr>
              <w:spacing w:after="0"/>
              <w:rPr>
                <w:sz w:val="1"/>
                <w:szCs w:val="1"/>
                <w:color w:val="auto"/>
              </w:rPr>
            </w:pPr>
          </w:p>
        </w:tc>
      </w:tr>
      <w:tr>
        <w:trPr>
          <w:trHeight w:val="120"/>
        </w:trPr>
        <w:tc>
          <w:tcPr>
            <w:tcW w:w="2780" w:type="dxa"/>
            <w:vAlign w:val="bottom"/>
            <w:tcBorders>
              <w:left w:val="single" w:sz="8" w:color="808080"/>
            </w:tcBorders>
            <w:vMerge w:val="restart"/>
          </w:tcPr>
          <w:p>
            <w:pPr>
              <w:ind w:left="100"/>
              <w:spacing w:after="0"/>
              <w:rPr>
                <w:sz w:val="20"/>
                <w:szCs w:val="20"/>
                <w:color w:val="auto"/>
              </w:rPr>
            </w:pPr>
            <w:r>
              <w:rPr>
                <w:rFonts w:ascii="Arial" w:cs="Arial" w:eastAsia="Arial" w:hAnsi="Arial"/>
                <w:sz w:val="20"/>
                <w:szCs w:val="20"/>
                <w:color w:val="0000FF"/>
              </w:rPr>
              <w:t>Stock</w:t>
            </w:r>
          </w:p>
        </w:tc>
        <w:tc>
          <w:tcPr>
            <w:tcW w:w="12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780" w:type="dxa"/>
            <w:vAlign w:val="bottom"/>
            <w:tcBorders>
              <w:left w:val="single" w:sz="8" w:color="808080"/>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vMerge w:val="restart"/>
          </w:tcPr>
          <w:p>
            <w:pPr>
              <w:ind w:left="80"/>
              <w:spacing w:after="0" w:line="309" w:lineRule="exact"/>
              <w:rPr>
                <w:sz w:val="20"/>
                <w:szCs w:val="20"/>
                <w:color w:val="auto"/>
              </w:rPr>
            </w:pPr>
            <w:r>
              <w:rPr>
                <w:rFonts w:ascii="Arial" w:cs="Arial" w:eastAsia="Arial" w:hAnsi="Arial"/>
                <w:sz w:val="35"/>
                <w:szCs w:val="35"/>
                <w:color w:val="0000FF"/>
                <w:vertAlign w:val="subscript"/>
              </w:rPr>
              <w:t>LP</w:t>
            </w:r>
            <w:r>
              <w:rPr>
                <w:rFonts w:ascii="Arial" w:cs="Arial" w:eastAsia="Arial" w:hAnsi="Arial"/>
                <w:sz w:val="12"/>
                <w:szCs w:val="12"/>
                <w:color w:val="008000"/>
              </w:rPr>
              <w:t>(3)(4)</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780" w:type="dxa"/>
            <w:vAlign w:val="bottom"/>
            <w:tcBorders>
              <w:left w:val="single" w:sz="8" w:color="808080"/>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780" w:type="dxa"/>
            <w:vAlign w:val="bottom"/>
            <w:tcBorders>
              <w:left w:val="single" w:sz="8" w:color="808080"/>
            </w:tcBorders>
            <w:vMerge w:val="restart"/>
          </w:tcPr>
          <w:p>
            <w:pPr>
              <w:ind w:left="100"/>
              <w:spacing w:after="0"/>
              <w:rPr>
                <w:sz w:val="20"/>
                <w:szCs w:val="20"/>
                <w:color w:val="auto"/>
              </w:rPr>
            </w:pPr>
            <w:r>
              <w:rPr>
                <w:rFonts w:ascii="Arial" w:cs="Arial" w:eastAsia="Arial" w:hAnsi="Arial"/>
                <w:sz w:val="20"/>
                <w:szCs w:val="20"/>
                <w:color w:val="0000FF"/>
                <w:w w:val="92"/>
              </w:rPr>
              <w:t>Series A-1 Convertible Preferred</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20"/>
                <w:szCs w:val="20"/>
                <w:color w:val="0000FF"/>
                <w:w w:val="97"/>
              </w:rPr>
              <w:t>Directly held by</w:t>
            </w:r>
          </w:p>
        </w:tc>
        <w:tc>
          <w:tcPr>
            <w:tcW w:w="0" w:type="dxa"/>
            <w:vAlign w:val="bottom"/>
          </w:tcPr>
          <w:p>
            <w:pPr>
              <w:spacing w:after="0"/>
              <w:rPr>
                <w:sz w:val="1"/>
                <w:szCs w:val="1"/>
                <w:color w:val="auto"/>
              </w:rPr>
            </w:pPr>
          </w:p>
        </w:tc>
      </w:tr>
      <w:tr>
        <w:trPr>
          <w:trHeight w:val="120"/>
        </w:trPr>
        <w:tc>
          <w:tcPr>
            <w:tcW w:w="2780" w:type="dxa"/>
            <w:vAlign w:val="bottom"/>
            <w:tcBorders>
              <w:left w:val="single" w:sz="8" w:color="808080"/>
            </w:tcBorders>
            <w:vMerge w:val="continue"/>
          </w:tcPr>
          <w:p>
            <w:pPr>
              <w:spacing w:after="0"/>
              <w:rPr>
                <w:sz w:val="10"/>
                <w:szCs w:val="10"/>
                <w:color w:val="auto"/>
              </w:rPr>
            </w:pPr>
          </w:p>
        </w:tc>
        <w:tc>
          <w:tcPr>
            <w:tcW w:w="122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rPr>
              <w:t>(6)</w:t>
            </w: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vMerge w:val="restart"/>
          </w:tcPr>
          <w:p>
            <w:pPr>
              <w:jc w:val="right"/>
              <w:spacing w:after="0" w:line="240" w:lineRule="exact"/>
              <w:rPr>
                <w:sz w:val="20"/>
                <w:szCs w:val="20"/>
                <w:color w:val="auto"/>
              </w:rPr>
            </w:pPr>
            <w:r>
              <w:rPr>
                <w:rFonts w:ascii="Arial" w:cs="Arial" w:eastAsia="Arial" w:hAnsi="Arial"/>
                <w:sz w:val="20"/>
                <w:szCs w:val="20"/>
                <w:color w:val="0000FF"/>
              </w:rPr>
              <w:t>101,842</w:t>
            </w:r>
            <w:r>
              <w:rPr>
                <w:rFonts w:ascii="Arial" w:cs="Arial" w:eastAsia="Arial" w:hAnsi="Arial"/>
                <w:sz w:val="25"/>
                <w:szCs w:val="25"/>
                <w:color w:val="008000"/>
                <w:vertAlign w:val="superscript"/>
              </w:rPr>
              <w:t>(2)</w:t>
            </w:r>
          </w:p>
        </w:tc>
        <w:tc>
          <w:tcPr>
            <w:tcW w:w="980" w:type="dxa"/>
            <w:vAlign w:val="bottom"/>
            <w:vMerge w:val="restart"/>
          </w:tcPr>
          <w:p>
            <w:pPr>
              <w:jc w:val="right"/>
              <w:ind w:right="348"/>
              <w:spacing w:after="0"/>
              <w:rPr>
                <w:sz w:val="20"/>
                <w:szCs w:val="20"/>
                <w:color w:val="auto"/>
              </w:rPr>
            </w:pPr>
            <w:r>
              <w:rPr>
                <w:rFonts w:ascii="Arial" w:cs="Arial" w:eastAsia="Arial" w:hAnsi="Arial"/>
                <w:sz w:val="13"/>
                <w:szCs w:val="13"/>
                <w:color w:val="008000"/>
              </w:rPr>
              <w:t>(6)</w:t>
            </w:r>
          </w:p>
        </w:tc>
        <w:tc>
          <w:tcPr>
            <w:tcW w:w="92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440" w:type="dxa"/>
            <w:vAlign w:val="bottom"/>
            <w:gridSpan w:val="2"/>
            <w:vMerge w:val="restart"/>
          </w:tcPr>
          <w:p>
            <w:pPr>
              <w:ind w:left="80"/>
              <w:spacing w:after="0"/>
              <w:rPr>
                <w:sz w:val="20"/>
                <w:szCs w:val="20"/>
                <w:color w:val="auto"/>
              </w:rPr>
            </w:pPr>
            <w:r>
              <w:rPr>
                <w:rFonts w:ascii="Arial" w:cs="Arial" w:eastAsia="Arial" w:hAnsi="Arial"/>
                <w:sz w:val="20"/>
                <w:szCs w:val="20"/>
                <w:color w:val="0000FF"/>
              </w:rPr>
              <w:t>Bios Fund II</w:t>
            </w:r>
          </w:p>
        </w:tc>
        <w:tc>
          <w:tcPr>
            <w:tcW w:w="0" w:type="dxa"/>
            <w:vAlign w:val="bottom"/>
          </w:tcPr>
          <w:p>
            <w:pPr>
              <w:spacing w:after="0"/>
              <w:rPr>
                <w:sz w:val="1"/>
                <w:szCs w:val="1"/>
                <w:color w:val="auto"/>
              </w:rPr>
            </w:pPr>
          </w:p>
        </w:tc>
      </w:tr>
      <w:tr>
        <w:trPr>
          <w:trHeight w:val="120"/>
        </w:trPr>
        <w:tc>
          <w:tcPr>
            <w:tcW w:w="2780" w:type="dxa"/>
            <w:vAlign w:val="bottom"/>
            <w:tcBorders>
              <w:left w:val="single" w:sz="8" w:color="808080"/>
            </w:tcBorders>
            <w:vMerge w:val="restart"/>
          </w:tcPr>
          <w:p>
            <w:pPr>
              <w:ind w:left="100"/>
              <w:spacing w:after="0"/>
              <w:rPr>
                <w:sz w:val="20"/>
                <w:szCs w:val="20"/>
                <w:color w:val="auto"/>
              </w:rPr>
            </w:pPr>
            <w:r>
              <w:rPr>
                <w:rFonts w:ascii="Arial" w:cs="Arial" w:eastAsia="Arial" w:hAnsi="Arial"/>
                <w:sz w:val="20"/>
                <w:szCs w:val="20"/>
                <w:color w:val="0000FF"/>
              </w:rPr>
              <w:t>Stock</w:t>
            </w:r>
          </w:p>
        </w:tc>
        <w:tc>
          <w:tcPr>
            <w:tcW w:w="12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780" w:type="dxa"/>
            <w:vAlign w:val="bottom"/>
            <w:tcBorders>
              <w:left w:val="single" w:sz="8" w:color="808080"/>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vMerge w:val="restart"/>
          </w:tcPr>
          <w:p>
            <w:pPr>
              <w:ind w:left="80"/>
              <w:spacing w:after="0" w:line="309" w:lineRule="exact"/>
              <w:rPr>
                <w:sz w:val="20"/>
                <w:szCs w:val="20"/>
                <w:color w:val="auto"/>
              </w:rPr>
            </w:pPr>
            <w:r>
              <w:rPr>
                <w:rFonts w:ascii="Arial" w:cs="Arial" w:eastAsia="Arial" w:hAnsi="Arial"/>
                <w:sz w:val="35"/>
                <w:szCs w:val="35"/>
                <w:color w:val="0000FF"/>
                <w:vertAlign w:val="subscript"/>
              </w:rPr>
              <w:t>NT, LP</w:t>
            </w:r>
            <w:r>
              <w:rPr>
                <w:rFonts w:ascii="Arial" w:cs="Arial" w:eastAsia="Arial" w:hAnsi="Arial"/>
                <w:sz w:val="12"/>
                <w:szCs w:val="12"/>
                <w:color w:val="008000"/>
              </w:rPr>
              <w:t>(3)(4)</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780" w:type="dxa"/>
            <w:vAlign w:val="bottom"/>
            <w:tcBorders>
              <w:left w:val="single" w:sz="8" w:color="808080"/>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780" w:type="dxa"/>
            <w:vAlign w:val="bottom"/>
            <w:tcBorders>
              <w:left w:val="single" w:sz="8" w:color="808080"/>
            </w:tcBorders>
            <w:vMerge w:val="restart"/>
          </w:tcPr>
          <w:p>
            <w:pPr>
              <w:ind w:left="100"/>
              <w:spacing w:after="0"/>
              <w:rPr>
                <w:sz w:val="20"/>
                <w:szCs w:val="20"/>
                <w:color w:val="auto"/>
              </w:rPr>
            </w:pPr>
            <w:r>
              <w:rPr>
                <w:rFonts w:ascii="Arial" w:cs="Arial" w:eastAsia="Arial" w:hAnsi="Arial"/>
                <w:sz w:val="20"/>
                <w:szCs w:val="20"/>
                <w:color w:val="0000FF"/>
                <w:w w:val="92"/>
              </w:rPr>
              <w:t>Series A-1 Convertible Preferred</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20"/>
                <w:szCs w:val="20"/>
                <w:color w:val="0000FF"/>
                <w:w w:val="97"/>
              </w:rPr>
              <w:t>Directly held by</w:t>
            </w:r>
          </w:p>
        </w:tc>
        <w:tc>
          <w:tcPr>
            <w:tcW w:w="0" w:type="dxa"/>
            <w:vAlign w:val="bottom"/>
          </w:tcPr>
          <w:p>
            <w:pPr>
              <w:spacing w:after="0"/>
              <w:rPr>
                <w:sz w:val="1"/>
                <w:szCs w:val="1"/>
                <w:color w:val="auto"/>
              </w:rPr>
            </w:pPr>
          </w:p>
        </w:tc>
      </w:tr>
      <w:tr>
        <w:trPr>
          <w:trHeight w:val="120"/>
        </w:trPr>
        <w:tc>
          <w:tcPr>
            <w:tcW w:w="2780" w:type="dxa"/>
            <w:vAlign w:val="bottom"/>
            <w:tcBorders>
              <w:left w:val="single" w:sz="8" w:color="808080"/>
            </w:tcBorders>
            <w:vMerge w:val="continue"/>
          </w:tcPr>
          <w:p>
            <w:pPr>
              <w:spacing w:after="0"/>
              <w:rPr>
                <w:sz w:val="10"/>
                <w:szCs w:val="10"/>
                <w:color w:val="auto"/>
              </w:rPr>
            </w:pPr>
          </w:p>
        </w:tc>
        <w:tc>
          <w:tcPr>
            <w:tcW w:w="122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rPr>
              <w:t>(6)</w:t>
            </w: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vMerge w:val="restart"/>
          </w:tcPr>
          <w:p>
            <w:pPr>
              <w:jc w:val="right"/>
              <w:spacing w:after="0" w:line="240" w:lineRule="exact"/>
              <w:rPr>
                <w:sz w:val="20"/>
                <w:szCs w:val="20"/>
                <w:color w:val="auto"/>
              </w:rPr>
            </w:pPr>
            <w:r>
              <w:rPr>
                <w:rFonts w:ascii="Arial" w:cs="Arial" w:eastAsia="Arial" w:hAnsi="Arial"/>
                <w:sz w:val="20"/>
                <w:szCs w:val="20"/>
                <w:color w:val="0000FF"/>
              </w:rPr>
              <w:t>412,389</w:t>
            </w:r>
            <w:r>
              <w:rPr>
                <w:rFonts w:ascii="Arial" w:cs="Arial" w:eastAsia="Arial" w:hAnsi="Arial"/>
                <w:sz w:val="25"/>
                <w:szCs w:val="25"/>
                <w:color w:val="008000"/>
                <w:vertAlign w:val="superscript"/>
              </w:rPr>
              <w:t>(2)</w:t>
            </w:r>
          </w:p>
        </w:tc>
        <w:tc>
          <w:tcPr>
            <w:tcW w:w="980" w:type="dxa"/>
            <w:vAlign w:val="bottom"/>
            <w:vMerge w:val="restart"/>
          </w:tcPr>
          <w:p>
            <w:pPr>
              <w:jc w:val="right"/>
              <w:ind w:right="348"/>
              <w:spacing w:after="0"/>
              <w:rPr>
                <w:sz w:val="20"/>
                <w:szCs w:val="20"/>
                <w:color w:val="auto"/>
              </w:rPr>
            </w:pPr>
            <w:r>
              <w:rPr>
                <w:rFonts w:ascii="Arial" w:cs="Arial" w:eastAsia="Arial" w:hAnsi="Arial"/>
                <w:sz w:val="13"/>
                <w:szCs w:val="13"/>
                <w:color w:val="008000"/>
              </w:rPr>
              <w:t>(6)</w:t>
            </w:r>
          </w:p>
        </w:tc>
        <w:tc>
          <w:tcPr>
            <w:tcW w:w="92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440" w:type="dxa"/>
            <w:vAlign w:val="bottom"/>
            <w:gridSpan w:val="2"/>
            <w:vMerge w:val="restart"/>
          </w:tcPr>
          <w:p>
            <w:pPr>
              <w:ind w:left="80"/>
              <w:spacing w:after="0"/>
              <w:rPr>
                <w:sz w:val="20"/>
                <w:szCs w:val="20"/>
                <w:color w:val="auto"/>
              </w:rPr>
            </w:pPr>
            <w:r>
              <w:rPr>
                <w:rFonts w:ascii="Arial" w:cs="Arial" w:eastAsia="Arial" w:hAnsi="Arial"/>
                <w:sz w:val="20"/>
                <w:szCs w:val="20"/>
                <w:color w:val="0000FF"/>
              </w:rPr>
              <w:t>Bios Fund II</w:t>
            </w:r>
          </w:p>
        </w:tc>
        <w:tc>
          <w:tcPr>
            <w:tcW w:w="0" w:type="dxa"/>
            <w:vAlign w:val="bottom"/>
          </w:tcPr>
          <w:p>
            <w:pPr>
              <w:spacing w:after="0"/>
              <w:rPr>
                <w:sz w:val="1"/>
                <w:szCs w:val="1"/>
                <w:color w:val="auto"/>
              </w:rPr>
            </w:pPr>
          </w:p>
        </w:tc>
      </w:tr>
      <w:tr>
        <w:trPr>
          <w:trHeight w:val="120"/>
        </w:trPr>
        <w:tc>
          <w:tcPr>
            <w:tcW w:w="2780" w:type="dxa"/>
            <w:vAlign w:val="bottom"/>
            <w:tcBorders>
              <w:left w:val="single" w:sz="8" w:color="808080"/>
            </w:tcBorders>
            <w:vMerge w:val="restart"/>
          </w:tcPr>
          <w:p>
            <w:pPr>
              <w:ind w:left="100"/>
              <w:spacing w:after="0"/>
              <w:rPr>
                <w:sz w:val="20"/>
                <w:szCs w:val="20"/>
                <w:color w:val="auto"/>
              </w:rPr>
            </w:pPr>
            <w:r>
              <w:rPr>
                <w:rFonts w:ascii="Arial" w:cs="Arial" w:eastAsia="Arial" w:hAnsi="Arial"/>
                <w:sz w:val="20"/>
                <w:szCs w:val="20"/>
                <w:color w:val="0000FF"/>
              </w:rPr>
              <w:t>Stock</w:t>
            </w:r>
          </w:p>
        </w:tc>
        <w:tc>
          <w:tcPr>
            <w:tcW w:w="12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780" w:type="dxa"/>
            <w:vAlign w:val="bottom"/>
            <w:tcBorders>
              <w:left w:val="single" w:sz="8" w:color="808080"/>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vMerge w:val="restart"/>
          </w:tcPr>
          <w:p>
            <w:pPr>
              <w:ind w:left="80"/>
              <w:spacing w:after="0" w:line="309" w:lineRule="exact"/>
              <w:rPr>
                <w:sz w:val="20"/>
                <w:szCs w:val="20"/>
                <w:color w:val="auto"/>
              </w:rPr>
            </w:pPr>
            <w:r>
              <w:rPr>
                <w:rFonts w:ascii="Arial" w:cs="Arial" w:eastAsia="Arial" w:hAnsi="Arial"/>
                <w:sz w:val="35"/>
                <w:szCs w:val="35"/>
                <w:color w:val="0000FF"/>
                <w:vertAlign w:val="subscript"/>
              </w:rPr>
              <w:t>QP, LP</w:t>
            </w:r>
            <w:r>
              <w:rPr>
                <w:rFonts w:ascii="Arial" w:cs="Arial" w:eastAsia="Arial" w:hAnsi="Arial"/>
                <w:sz w:val="12"/>
                <w:szCs w:val="12"/>
                <w:color w:val="008000"/>
              </w:rPr>
              <w:t>(3)(4)</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780" w:type="dxa"/>
            <w:vAlign w:val="bottom"/>
            <w:tcBorders>
              <w:left w:val="single" w:sz="8" w:color="808080"/>
              <w:bottom w:val="single" w:sz="8" w:color="2C2C2C"/>
            </w:tcBorders>
          </w:tcPr>
          <w:p>
            <w:pPr>
              <w:spacing w:after="0"/>
              <w:rPr>
                <w:sz w:val="16"/>
                <w:szCs w:val="16"/>
                <w:color w:val="auto"/>
              </w:rPr>
            </w:pPr>
          </w:p>
        </w:tc>
        <w:tc>
          <w:tcPr>
            <w:tcW w:w="2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104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920" w:type="dxa"/>
            <w:vAlign w:val="bottom"/>
            <w:tcBorders>
              <w:bottom w:val="single" w:sz="8" w:color="2C2C2C"/>
            </w:tcBorders>
          </w:tcPr>
          <w:p>
            <w:pPr>
              <w:spacing w:after="0"/>
              <w:rPr>
                <w:sz w:val="16"/>
                <w:szCs w:val="16"/>
                <w:color w:val="auto"/>
              </w:rPr>
            </w:pPr>
          </w:p>
        </w:tc>
        <w:tc>
          <w:tcPr>
            <w:tcW w:w="1420" w:type="dxa"/>
            <w:vAlign w:val="bottom"/>
            <w:tcBorders>
              <w:bottom w:val="single" w:sz="8" w:color="2C2C2C"/>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780" w:type="dxa"/>
            <w:vAlign w:val="bottom"/>
            <w:tcBorders>
              <w:left w:val="single" w:sz="8" w:color="808080"/>
            </w:tcBorders>
            <w:vMerge w:val="restart"/>
          </w:tcPr>
          <w:p>
            <w:pPr>
              <w:ind w:left="100"/>
              <w:spacing w:after="0"/>
              <w:rPr>
                <w:sz w:val="20"/>
                <w:szCs w:val="20"/>
                <w:color w:val="auto"/>
              </w:rPr>
            </w:pPr>
            <w:r>
              <w:rPr>
                <w:rFonts w:ascii="Arial" w:cs="Arial" w:eastAsia="Arial" w:hAnsi="Arial"/>
                <w:sz w:val="20"/>
                <w:szCs w:val="20"/>
                <w:color w:val="0000FF"/>
                <w:w w:val="92"/>
              </w:rPr>
              <w:t>Series A-1 Convertible Preferred</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20"/>
                <w:szCs w:val="20"/>
                <w:color w:val="0000FF"/>
                <w:w w:val="97"/>
              </w:rPr>
              <w:t>Directly held by</w:t>
            </w:r>
          </w:p>
        </w:tc>
        <w:tc>
          <w:tcPr>
            <w:tcW w:w="0" w:type="dxa"/>
            <w:vAlign w:val="bottom"/>
          </w:tcPr>
          <w:p>
            <w:pPr>
              <w:spacing w:after="0"/>
              <w:rPr>
                <w:sz w:val="1"/>
                <w:szCs w:val="1"/>
                <w:color w:val="auto"/>
              </w:rPr>
            </w:pPr>
          </w:p>
        </w:tc>
      </w:tr>
      <w:tr>
        <w:trPr>
          <w:trHeight w:val="120"/>
        </w:trPr>
        <w:tc>
          <w:tcPr>
            <w:tcW w:w="2780" w:type="dxa"/>
            <w:vAlign w:val="bottom"/>
            <w:tcBorders>
              <w:left w:val="single" w:sz="8" w:color="808080"/>
            </w:tcBorders>
            <w:vMerge w:val="continue"/>
          </w:tcPr>
          <w:p>
            <w:pPr>
              <w:spacing w:after="0"/>
              <w:rPr>
                <w:sz w:val="10"/>
                <w:szCs w:val="10"/>
                <w:color w:val="auto"/>
              </w:rPr>
            </w:pPr>
          </w:p>
        </w:tc>
        <w:tc>
          <w:tcPr>
            <w:tcW w:w="122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(6)</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008000"/>
              </w:rPr>
              <w:t>(6)</w:t>
            </w:r>
          </w:p>
        </w:tc>
        <w:tc>
          <w:tcPr>
            <w:tcW w:w="1680" w:type="dxa"/>
            <w:vAlign w:val="bottom"/>
            <w:vMerge w:val="restart"/>
          </w:tcPr>
          <w:p>
            <w:pPr>
              <w:ind w:left="280"/>
              <w:spacing w:after="0"/>
              <w:rPr>
                <w:sz w:val="20"/>
                <w:szCs w:val="20"/>
                <w:color w:val="auto"/>
              </w:rPr>
            </w:pPr>
            <w:r>
              <w:rPr>
                <w:rFonts w:ascii="Arial" w:cs="Arial" w:eastAsia="Arial" w:hAnsi="Arial"/>
                <w:sz w:val="20"/>
                <w:szCs w:val="20"/>
                <w:color w:val="0000FF"/>
              </w:rPr>
              <w:t>Common Stock</w:t>
            </w:r>
          </w:p>
        </w:tc>
        <w:tc>
          <w:tcPr>
            <w:tcW w:w="1040" w:type="dxa"/>
            <w:vAlign w:val="bottom"/>
            <w:vMerge w:val="restart"/>
          </w:tcPr>
          <w:p>
            <w:pPr>
              <w:jc w:val="right"/>
              <w:spacing w:after="0" w:line="240" w:lineRule="exact"/>
              <w:rPr>
                <w:sz w:val="20"/>
                <w:szCs w:val="20"/>
                <w:color w:val="auto"/>
              </w:rPr>
            </w:pPr>
            <w:r>
              <w:rPr>
                <w:rFonts w:ascii="Arial" w:cs="Arial" w:eastAsia="Arial" w:hAnsi="Arial"/>
                <w:sz w:val="20"/>
                <w:szCs w:val="20"/>
                <w:color w:val="0000FF"/>
              </w:rPr>
              <w:t>397,600</w:t>
            </w:r>
            <w:r>
              <w:rPr>
                <w:rFonts w:ascii="Arial" w:cs="Arial" w:eastAsia="Arial" w:hAnsi="Arial"/>
                <w:sz w:val="25"/>
                <w:szCs w:val="25"/>
                <w:color w:val="008000"/>
                <w:vertAlign w:val="superscript"/>
              </w:rPr>
              <w:t>(2)</w:t>
            </w:r>
          </w:p>
        </w:tc>
        <w:tc>
          <w:tcPr>
            <w:tcW w:w="980" w:type="dxa"/>
            <w:vAlign w:val="bottom"/>
            <w:vMerge w:val="restart"/>
          </w:tcPr>
          <w:p>
            <w:pPr>
              <w:jc w:val="right"/>
              <w:ind w:right="348"/>
              <w:spacing w:after="0"/>
              <w:rPr>
                <w:sz w:val="20"/>
                <w:szCs w:val="20"/>
                <w:color w:val="auto"/>
              </w:rPr>
            </w:pPr>
            <w:r>
              <w:rPr>
                <w:rFonts w:ascii="Arial" w:cs="Arial" w:eastAsia="Arial" w:hAnsi="Arial"/>
                <w:sz w:val="13"/>
                <w:szCs w:val="13"/>
                <w:color w:val="008000"/>
              </w:rPr>
              <w:t>(6)</w:t>
            </w:r>
          </w:p>
        </w:tc>
        <w:tc>
          <w:tcPr>
            <w:tcW w:w="920" w:type="dxa"/>
            <w:vAlign w:val="bottom"/>
            <w:vMerge w:val="restart"/>
          </w:tcPr>
          <w:p>
            <w:pPr>
              <w:ind w:left="420"/>
              <w:spacing w:after="0"/>
              <w:rPr>
                <w:sz w:val="20"/>
                <w:szCs w:val="20"/>
                <w:color w:val="auto"/>
              </w:rPr>
            </w:pPr>
            <w:r>
              <w:rPr>
                <w:rFonts w:ascii="Arial" w:cs="Arial" w:eastAsia="Arial" w:hAnsi="Arial"/>
                <w:sz w:val="20"/>
                <w:szCs w:val="20"/>
                <w:color w:val="0000FF"/>
              </w:rPr>
              <w:t>I</w:t>
            </w:r>
          </w:p>
        </w:tc>
        <w:tc>
          <w:tcPr>
            <w:tcW w:w="1440" w:type="dxa"/>
            <w:vAlign w:val="bottom"/>
            <w:gridSpan w:val="2"/>
            <w:vMerge w:val="restart"/>
          </w:tcPr>
          <w:p>
            <w:pPr>
              <w:ind w:left="80"/>
              <w:spacing w:after="0"/>
              <w:rPr>
                <w:sz w:val="20"/>
                <w:szCs w:val="20"/>
                <w:color w:val="auto"/>
              </w:rPr>
            </w:pPr>
            <w:r>
              <w:rPr>
                <w:rFonts w:ascii="Arial" w:cs="Arial" w:eastAsia="Arial" w:hAnsi="Arial"/>
                <w:sz w:val="20"/>
                <w:szCs w:val="20"/>
                <w:color w:val="0000FF"/>
              </w:rPr>
              <w:t>Bios Azitra Co-</w:t>
            </w:r>
          </w:p>
        </w:tc>
        <w:tc>
          <w:tcPr>
            <w:tcW w:w="0" w:type="dxa"/>
            <w:vAlign w:val="bottom"/>
          </w:tcPr>
          <w:p>
            <w:pPr>
              <w:spacing w:after="0"/>
              <w:rPr>
                <w:sz w:val="1"/>
                <w:szCs w:val="1"/>
                <w:color w:val="auto"/>
              </w:rPr>
            </w:pPr>
          </w:p>
        </w:tc>
      </w:tr>
      <w:tr>
        <w:trPr>
          <w:trHeight w:val="120"/>
        </w:trPr>
        <w:tc>
          <w:tcPr>
            <w:tcW w:w="2780" w:type="dxa"/>
            <w:vAlign w:val="bottom"/>
            <w:tcBorders>
              <w:left w:val="single" w:sz="8" w:color="808080"/>
            </w:tcBorders>
            <w:vMerge w:val="restart"/>
          </w:tcPr>
          <w:p>
            <w:pPr>
              <w:ind w:left="100"/>
              <w:spacing w:after="0"/>
              <w:rPr>
                <w:sz w:val="20"/>
                <w:szCs w:val="20"/>
                <w:color w:val="auto"/>
              </w:rPr>
            </w:pPr>
            <w:r>
              <w:rPr>
                <w:rFonts w:ascii="Arial" w:cs="Arial" w:eastAsia="Arial" w:hAnsi="Arial"/>
                <w:sz w:val="20"/>
                <w:szCs w:val="20"/>
                <w:color w:val="0000FF"/>
              </w:rPr>
              <w:t>Stock</w:t>
            </w:r>
          </w:p>
        </w:tc>
        <w:tc>
          <w:tcPr>
            <w:tcW w:w="1220" w:type="dxa"/>
            <w:vAlign w:val="bottom"/>
            <w:gridSpan w:val="2"/>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780" w:type="dxa"/>
            <w:vAlign w:val="bottom"/>
            <w:tcBorders>
              <w:left w:val="single" w:sz="8" w:color="808080"/>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20"/>
                <w:szCs w:val="20"/>
                <w:color w:val="0000FF"/>
                <w:w w:val="95"/>
              </w:rPr>
              <w:t>Invest I, LP</w:t>
            </w:r>
            <w:r>
              <w:rPr>
                <w:rFonts w:ascii="Arial" w:cs="Arial" w:eastAsia="Arial" w:hAnsi="Arial"/>
                <w:sz w:val="25"/>
                <w:szCs w:val="25"/>
                <w:color w:val="008000"/>
                <w:w w:val="95"/>
                <w:vertAlign w:val="superscript"/>
              </w:rPr>
              <w:t>(3)(4)</w:t>
            </w:r>
          </w:p>
        </w:tc>
        <w:tc>
          <w:tcPr>
            <w:tcW w:w="0" w:type="dxa"/>
            <w:vAlign w:val="bottom"/>
          </w:tcPr>
          <w:p>
            <w:pPr>
              <w:spacing w:after="0"/>
              <w:rPr>
                <w:sz w:val="1"/>
                <w:szCs w:val="1"/>
                <w:color w:val="auto"/>
              </w:rPr>
            </w:pPr>
          </w:p>
        </w:tc>
      </w:tr>
      <w:tr>
        <w:trPr>
          <w:trHeight w:val="182"/>
        </w:trPr>
        <w:tc>
          <w:tcPr>
            <w:tcW w:w="2780" w:type="dxa"/>
            <w:vAlign w:val="bottom"/>
            <w:tcBorders>
              <w:left w:val="single" w:sz="8" w:color="808080"/>
            </w:tcBorders>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780" w:type="dxa"/>
            <w:vAlign w:val="bottom"/>
            <w:tcBorders>
              <w:top w:val="single" w:sz="8" w:color="808080"/>
              <w:left w:val="single" w:sz="8" w:color="808080"/>
            </w:tcBorders>
          </w:tcPr>
          <w:p>
            <w:pPr>
              <w:spacing w:after="0"/>
              <w:rPr>
                <w:sz w:val="23"/>
                <w:szCs w:val="23"/>
                <w:color w:val="auto"/>
              </w:rPr>
            </w:pPr>
          </w:p>
        </w:tc>
        <w:tc>
          <w:tcPr>
            <w:tcW w:w="240" w:type="dxa"/>
            <w:vAlign w:val="bottom"/>
            <w:tcBorders>
              <w:top w:val="single" w:sz="8" w:color="808080"/>
            </w:tcBorders>
          </w:tcPr>
          <w:p>
            <w:pPr>
              <w:spacing w:after="0"/>
              <w:rPr>
                <w:sz w:val="23"/>
                <w:szCs w:val="23"/>
                <w:color w:val="auto"/>
              </w:rPr>
            </w:pPr>
          </w:p>
        </w:tc>
        <w:tc>
          <w:tcPr>
            <w:tcW w:w="980" w:type="dxa"/>
            <w:vAlign w:val="bottom"/>
            <w:tcBorders>
              <w:top w:val="single" w:sz="8" w:color="808080"/>
            </w:tcBorders>
          </w:tcPr>
          <w:p>
            <w:pPr>
              <w:spacing w:after="0"/>
              <w:rPr>
                <w:sz w:val="23"/>
                <w:szCs w:val="23"/>
                <w:color w:val="auto"/>
              </w:rPr>
            </w:pPr>
          </w:p>
        </w:tc>
        <w:tc>
          <w:tcPr>
            <w:tcW w:w="880" w:type="dxa"/>
            <w:vAlign w:val="bottom"/>
            <w:tcBorders>
              <w:top w:val="single" w:sz="8" w:color="808080"/>
            </w:tcBorders>
          </w:tcPr>
          <w:p>
            <w:pPr>
              <w:spacing w:after="0"/>
              <w:rPr>
                <w:sz w:val="23"/>
                <w:szCs w:val="23"/>
                <w:color w:val="auto"/>
              </w:rPr>
            </w:pPr>
          </w:p>
        </w:tc>
        <w:tc>
          <w:tcPr>
            <w:tcW w:w="1680" w:type="dxa"/>
            <w:vAlign w:val="bottom"/>
            <w:tcBorders>
              <w:top w:val="single" w:sz="8" w:color="808080"/>
            </w:tcBorders>
          </w:tcPr>
          <w:p>
            <w:pPr>
              <w:spacing w:after="0"/>
              <w:rPr>
                <w:sz w:val="23"/>
                <w:szCs w:val="23"/>
                <w:color w:val="auto"/>
              </w:rPr>
            </w:pPr>
          </w:p>
        </w:tc>
        <w:tc>
          <w:tcPr>
            <w:tcW w:w="1040" w:type="dxa"/>
            <w:vAlign w:val="bottom"/>
            <w:tcBorders>
              <w:top w:val="single" w:sz="8" w:color="808080"/>
            </w:tcBorders>
          </w:tcPr>
          <w:p>
            <w:pPr>
              <w:spacing w:after="0"/>
              <w:rPr>
                <w:sz w:val="23"/>
                <w:szCs w:val="23"/>
                <w:color w:val="auto"/>
              </w:rPr>
            </w:pPr>
          </w:p>
        </w:tc>
        <w:tc>
          <w:tcPr>
            <w:tcW w:w="980" w:type="dxa"/>
            <w:vAlign w:val="bottom"/>
            <w:tcBorders>
              <w:top w:val="single" w:sz="8" w:color="808080"/>
            </w:tcBorders>
          </w:tcPr>
          <w:p>
            <w:pPr>
              <w:spacing w:after="0"/>
              <w:rPr>
                <w:sz w:val="23"/>
                <w:szCs w:val="23"/>
                <w:color w:val="auto"/>
              </w:rPr>
            </w:pPr>
          </w:p>
        </w:tc>
        <w:tc>
          <w:tcPr>
            <w:tcW w:w="920" w:type="dxa"/>
            <w:vAlign w:val="bottom"/>
            <w:tcBorders>
              <w:top w:val="single" w:sz="8" w:color="808080"/>
            </w:tcBorders>
          </w:tcPr>
          <w:p>
            <w:pPr>
              <w:spacing w:after="0"/>
              <w:rPr>
                <w:sz w:val="23"/>
                <w:szCs w:val="23"/>
                <w:color w:val="auto"/>
              </w:rPr>
            </w:pPr>
          </w:p>
        </w:tc>
        <w:tc>
          <w:tcPr>
            <w:tcW w:w="1420" w:type="dxa"/>
            <w:vAlign w:val="bottom"/>
            <w:tcBorders>
              <w:top w:val="single" w:sz="8" w:color="808080"/>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907" w:orient="portrait"/>
          <w:cols w:equalWidth="0" w:num="1">
            <w:col w:w="10940"/>
          </w:cols>
          <w:pgMar w:left="480" w:top="236" w:right="479" w:bottom="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62775"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62775" cy="10520045"/>
                    </a:xfrm>
                    <a:prstGeom prst="rect">
                      <a:avLst/>
                    </a:prstGeom>
                    <a:noFill/>
                  </pic:spPr>
                </pic:pic>
              </a:graphicData>
            </a:graphic>
          </wp:anchor>
        </w:drawing>
        <w:t>Table II - Derivative Securities Beneficially Owned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4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30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30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6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0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46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46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300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880" w:type="dxa"/>
            <w:vAlign w:val="bottom"/>
            <w:tcBorders>
              <w:bottom w:val="single" w:sz="8" w:color="808080"/>
            </w:tcBorders>
          </w:tcPr>
          <w:p>
            <w:pPr>
              <w:spacing w:after="0"/>
              <w:rPr>
                <w:sz w:val="2"/>
                <w:szCs w:val="2"/>
                <w:color w:val="auto"/>
              </w:rPr>
            </w:pPr>
          </w:p>
        </w:tc>
        <w:tc>
          <w:tcPr>
            <w:tcW w:w="1260" w:type="dxa"/>
            <w:vAlign w:val="bottom"/>
            <w:tcBorders>
              <w:bottom w:val="single" w:sz="8" w:color="808080"/>
            </w:tcBorders>
          </w:tcPr>
          <w:p>
            <w:pPr>
              <w:spacing w:after="0"/>
              <w:rPr>
                <w:sz w:val="2"/>
                <w:szCs w:val="2"/>
                <w:color w:val="auto"/>
              </w:rPr>
            </w:pPr>
          </w:p>
        </w:tc>
        <w:tc>
          <w:tcPr>
            <w:tcW w:w="1460" w:type="dxa"/>
            <w:vAlign w:val="bottom"/>
            <w:tcBorders>
              <w:bottom w:val="single" w:sz="8" w:color="808080"/>
            </w:tcBorders>
          </w:tcPr>
          <w:p>
            <w:pPr>
              <w:spacing w:after="0"/>
              <w:rPr>
                <w:sz w:val="2"/>
                <w:szCs w:val="2"/>
                <w:color w:val="auto"/>
              </w:rPr>
            </w:pPr>
          </w:p>
        </w:tc>
        <w:tc>
          <w:tcPr>
            <w:tcW w:w="980" w:type="dxa"/>
            <w:vAlign w:val="bottom"/>
            <w:tcBorders>
              <w:bottom w:val="single" w:sz="8" w:color="808080"/>
            </w:tcBorders>
          </w:tcPr>
          <w:p>
            <w:pPr>
              <w:spacing w:after="0"/>
              <w:rPr>
                <w:sz w:val="2"/>
                <w:szCs w:val="2"/>
                <w:color w:val="auto"/>
              </w:rPr>
            </w:pPr>
          </w:p>
        </w:tc>
        <w:tc>
          <w:tcPr>
            <w:tcW w:w="920" w:type="dxa"/>
            <w:vAlign w:val="bottom"/>
            <w:tcBorders>
              <w:bottom w:val="single" w:sz="8" w:color="808080"/>
            </w:tcBorders>
          </w:tcPr>
          <w:p>
            <w:pPr>
              <w:spacing w:after="0"/>
              <w:rPr>
                <w:sz w:val="2"/>
                <w:szCs w:val="2"/>
                <w:color w:val="auto"/>
              </w:rPr>
            </w:pPr>
          </w:p>
        </w:tc>
        <w:tc>
          <w:tcPr>
            <w:tcW w:w="142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w w:val="99"/>
              </w:rPr>
              <w:t>Series B Convertible Preferred</w:t>
            </w: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0" w:type="dxa"/>
            <w:vAlign w:val="bottom"/>
          </w:tcPr>
          <w:p>
            <w:pPr>
              <w:ind w:left="260"/>
              <w:spacing w:after="0"/>
              <w:rPr>
                <w:sz w:val="20"/>
                <w:szCs w:val="20"/>
                <w:color w:val="auto"/>
              </w:rPr>
            </w:pPr>
            <w:r>
              <w:rPr>
                <w:rFonts w:ascii="Arial" w:cs="Arial" w:eastAsia="Arial" w:hAnsi="Arial"/>
                <w:sz w:val="20"/>
                <w:szCs w:val="20"/>
                <w:color w:val="0000FF"/>
                <w:w w:val="96"/>
              </w:rPr>
              <w:t>Directly held by</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800" w:type="dxa"/>
            <w:vAlign w:val="bottom"/>
            <w:vMerge w:val="continue"/>
          </w:tcPr>
          <w:p>
            <w:pPr>
              <w:spacing w:after="0"/>
              <w:rPr>
                <w:sz w:val="10"/>
                <w:szCs w:val="10"/>
                <w:color w:val="auto"/>
              </w:rPr>
            </w:pPr>
          </w:p>
        </w:tc>
        <w:tc>
          <w:tcPr>
            <w:tcW w:w="1140" w:type="dxa"/>
            <w:vAlign w:val="bottom"/>
            <w:vMerge w:val="restart"/>
          </w:tcPr>
          <w:p>
            <w:pPr>
              <w:jc w:val="center"/>
              <w:ind w:left="150"/>
              <w:spacing w:after="0"/>
              <w:rPr>
                <w:sz w:val="20"/>
                <w:szCs w:val="20"/>
                <w:color w:val="auto"/>
              </w:rPr>
            </w:pPr>
            <w:r>
              <w:rPr>
                <w:rFonts w:ascii="Arial" w:cs="Arial" w:eastAsia="Arial" w:hAnsi="Arial"/>
                <w:sz w:val="13"/>
                <w:szCs w:val="13"/>
                <w:color w:val="008000"/>
              </w:rPr>
              <w:t>(7)</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8000"/>
              </w:rPr>
              <w:t>(7)</w:t>
            </w:r>
          </w:p>
        </w:tc>
        <w:tc>
          <w:tcPr>
            <w:tcW w:w="1580" w:type="dxa"/>
            <w:vAlign w:val="bottom"/>
            <w:vMerge w:val="restart"/>
          </w:tcPr>
          <w:p>
            <w:pPr>
              <w:ind w:left="180"/>
              <w:spacing w:after="0"/>
              <w:rPr>
                <w:sz w:val="20"/>
                <w:szCs w:val="20"/>
                <w:color w:val="auto"/>
              </w:rPr>
            </w:pPr>
            <w:r>
              <w:rPr>
                <w:rFonts w:ascii="Arial" w:cs="Arial" w:eastAsia="Arial" w:hAnsi="Arial"/>
                <w:sz w:val="20"/>
                <w:szCs w:val="20"/>
                <w:color w:val="0000FF"/>
              </w:rPr>
              <w:t>Common Stock</w:t>
            </w:r>
          </w:p>
        </w:tc>
        <w:tc>
          <w:tcPr>
            <w:tcW w:w="1120" w:type="dxa"/>
            <w:vAlign w:val="bottom"/>
            <w:vMerge w:val="restart"/>
          </w:tcPr>
          <w:p>
            <w:pPr>
              <w:jc w:val="center"/>
              <w:spacing w:after="0" w:line="240" w:lineRule="exact"/>
              <w:rPr>
                <w:sz w:val="20"/>
                <w:szCs w:val="20"/>
                <w:color w:val="auto"/>
              </w:rPr>
            </w:pPr>
            <w:r>
              <w:rPr>
                <w:rFonts w:ascii="Arial" w:cs="Arial" w:eastAsia="Arial" w:hAnsi="Arial"/>
                <w:sz w:val="20"/>
                <w:szCs w:val="20"/>
                <w:color w:val="0000FF"/>
                <w:w w:val="83"/>
              </w:rPr>
              <w:t>52,078</w:t>
            </w:r>
            <w:r>
              <w:rPr>
                <w:rFonts w:ascii="Arial" w:cs="Arial" w:eastAsia="Arial" w:hAnsi="Arial"/>
                <w:sz w:val="25"/>
                <w:szCs w:val="25"/>
                <w:color w:val="008000"/>
                <w:w w:val="83"/>
                <w:vertAlign w:val="superscript"/>
              </w:rPr>
              <w:t>(2)</w:t>
            </w:r>
          </w:p>
        </w:tc>
        <w:tc>
          <w:tcPr>
            <w:tcW w:w="980" w:type="dxa"/>
            <w:vAlign w:val="bottom"/>
            <w:vMerge w:val="restart"/>
          </w:tcPr>
          <w:p>
            <w:pPr>
              <w:jc w:val="center"/>
              <w:ind w:right="76"/>
              <w:spacing w:after="0"/>
              <w:rPr>
                <w:sz w:val="20"/>
                <w:szCs w:val="20"/>
                <w:color w:val="auto"/>
              </w:rPr>
            </w:pPr>
            <w:r>
              <w:rPr>
                <w:rFonts w:ascii="Arial" w:cs="Arial" w:eastAsia="Arial" w:hAnsi="Arial"/>
                <w:sz w:val="13"/>
                <w:szCs w:val="13"/>
                <w:color w:val="008000"/>
                <w:w w:val="87"/>
              </w:rPr>
              <w:t>(9)</w:t>
            </w:r>
          </w:p>
        </w:tc>
        <w:tc>
          <w:tcPr>
            <w:tcW w:w="660" w:type="dxa"/>
            <w:vAlign w:val="bottom"/>
            <w:vMerge w:val="restart"/>
          </w:tcPr>
          <w:p>
            <w:pPr>
              <w:ind w:left="340"/>
              <w:spacing w:after="0"/>
              <w:rPr>
                <w:sz w:val="20"/>
                <w:szCs w:val="20"/>
                <w:color w:val="auto"/>
              </w:rPr>
            </w:pPr>
            <w:r>
              <w:rPr>
                <w:rFonts w:ascii="Arial" w:cs="Arial" w:eastAsia="Arial" w:hAnsi="Arial"/>
                <w:sz w:val="20"/>
                <w:szCs w:val="20"/>
                <w:color w:val="0000FF"/>
              </w:rPr>
              <w:t>I</w:t>
            </w:r>
          </w:p>
        </w:tc>
        <w:tc>
          <w:tcPr>
            <w:tcW w:w="1600" w:type="dxa"/>
            <w:vAlign w:val="bottom"/>
            <w:vMerge w:val="restart"/>
          </w:tcPr>
          <w:p>
            <w:pPr>
              <w:ind w:left="260"/>
              <w:spacing w:after="0"/>
              <w:rPr>
                <w:sz w:val="20"/>
                <w:szCs w:val="20"/>
                <w:color w:val="auto"/>
              </w:rPr>
            </w:pPr>
            <w:r>
              <w:rPr>
                <w:rFonts w:ascii="Arial" w:cs="Arial" w:eastAsia="Arial" w:hAnsi="Arial"/>
                <w:sz w:val="20"/>
                <w:szCs w:val="20"/>
                <w:color w:val="0000FF"/>
              </w:rPr>
              <w:t>Bios Fund II,</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0" w:type="dxa"/>
            <w:vAlign w:val="bottom"/>
            <w:vMerge w:val="restart"/>
          </w:tcPr>
          <w:p>
            <w:pPr>
              <w:ind w:left="260"/>
              <w:spacing w:after="0" w:line="309" w:lineRule="exact"/>
              <w:rPr>
                <w:sz w:val="20"/>
                <w:szCs w:val="20"/>
                <w:color w:val="auto"/>
              </w:rPr>
            </w:pPr>
            <w:r>
              <w:rPr>
                <w:rFonts w:ascii="Arial" w:cs="Arial" w:eastAsia="Arial" w:hAnsi="Arial"/>
                <w:sz w:val="35"/>
                <w:szCs w:val="35"/>
                <w:color w:val="0000FF"/>
                <w:vertAlign w:val="subscript"/>
              </w:rPr>
              <w:t>LP</w:t>
            </w:r>
            <w:r>
              <w:rPr>
                <w:rFonts w:ascii="Arial" w:cs="Arial" w:eastAsia="Arial" w:hAnsi="Arial"/>
                <w:sz w:val="12"/>
                <w:szCs w:val="12"/>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80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158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w w:val="99"/>
              </w:rPr>
              <w:t>Series B Convertible Preferred</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Arial" w:cs="Arial" w:eastAsia="Arial" w:hAnsi="Arial"/>
                <w:sz w:val="20"/>
                <w:szCs w:val="20"/>
                <w:color w:val="0000FF"/>
                <w:w w:val="96"/>
              </w:rPr>
              <w:t>Directly held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00" w:type="dxa"/>
            <w:vAlign w:val="bottom"/>
            <w:vMerge w:val="continue"/>
          </w:tcPr>
          <w:p>
            <w:pPr>
              <w:spacing w:after="0"/>
              <w:rPr>
                <w:sz w:val="10"/>
                <w:szCs w:val="10"/>
                <w:color w:val="auto"/>
              </w:rPr>
            </w:pPr>
          </w:p>
        </w:tc>
        <w:tc>
          <w:tcPr>
            <w:tcW w:w="1140" w:type="dxa"/>
            <w:vAlign w:val="bottom"/>
            <w:vMerge w:val="restart"/>
          </w:tcPr>
          <w:p>
            <w:pPr>
              <w:jc w:val="center"/>
              <w:ind w:left="150"/>
              <w:spacing w:after="0"/>
              <w:rPr>
                <w:sz w:val="20"/>
                <w:szCs w:val="20"/>
                <w:color w:val="auto"/>
              </w:rPr>
            </w:pPr>
            <w:r>
              <w:rPr>
                <w:rFonts w:ascii="Arial" w:cs="Arial" w:eastAsia="Arial" w:hAnsi="Arial"/>
                <w:sz w:val="13"/>
                <w:szCs w:val="13"/>
                <w:color w:val="008000"/>
              </w:rPr>
              <w:t>(7)</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8000"/>
              </w:rPr>
              <w:t>(7)</w:t>
            </w:r>
          </w:p>
        </w:tc>
        <w:tc>
          <w:tcPr>
            <w:tcW w:w="1580" w:type="dxa"/>
            <w:vAlign w:val="bottom"/>
            <w:vMerge w:val="restart"/>
          </w:tcPr>
          <w:p>
            <w:pPr>
              <w:ind w:left="180"/>
              <w:spacing w:after="0"/>
              <w:rPr>
                <w:sz w:val="20"/>
                <w:szCs w:val="20"/>
                <w:color w:val="auto"/>
              </w:rPr>
            </w:pPr>
            <w:r>
              <w:rPr>
                <w:rFonts w:ascii="Arial" w:cs="Arial" w:eastAsia="Arial" w:hAnsi="Arial"/>
                <w:sz w:val="20"/>
                <w:szCs w:val="20"/>
                <w:color w:val="0000FF"/>
              </w:rPr>
              <w:t>Common Stock</w:t>
            </w:r>
          </w:p>
        </w:tc>
        <w:tc>
          <w:tcPr>
            <w:tcW w:w="1120" w:type="dxa"/>
            <w:vAlign w:val="bottom"/>
            <w:vMerge w:val="restart"/>
          </w:tcPr>
          <w:p>
            <w:pPr>
              <w:jc w:val="center"/>
              <w:spacing w:after="0" w:line="240" w:lineRule="exact"/>
              <w:rPr>
                <w:sz w:val="20"/>
                <w:szCs w:val="20"/>
                <w:color w:val="auto"/>
              </w:rPr>
            </w:pPr>
            <w:r>
              <w:rPr>
                <w:rFonts w:ascii="Arial" w:cs="Arial" w:eastAsia="Arial" w:hAnsi="Arial"/>
                <w:sz w:val="20"/>
                <w:szCs w:val="20"/>
                <w:color w:val="0000FF"/>
                <w:w w:val="83"/>
              </w:rPr>
              <w:t>22,798</w:t>
            </w:r>
            <w:r>
              <w:rPr>
                <w:rFonts w:ascii="Arial" w:cs="Arial" w:eastAsia="Arial" w:hAnsi="Arial"/>
                <w:sz w:val="25"/>
                <w:szCs w:val="25"/>
                <w:color w:val="008000"/>
                <w:w w:val="83"/>
                <w:vertAlign w:val="superscript"/>
              </w:rPr>
              <w:t>(2)</w:t>
            </w:r>
          </w:p>
        </w:tc>
        <w:tc>
          <w:tcPr>
            <w:tcW w:w="980" w:type="dxa"/>
            <w:vAlign w:val="bottom"/>
            <w:vMerge w:val="restart"/>
          </w:tcPr>
          <w:p>
            <w:pPr>
              <w:jc w:val="center"/>
              <w:ind w:right="76"/>
              <w:spacing w:after="0"/>
              <w:rPr>
                <w:sz w:val="20"/>
                <w:szCs w:val="20"/>
                <w:color w:val="auto"/>
              </w:rPr>
            </w:pPr>
            <w:r>
              <w:rPr>
                <w:rFonts w:ascii="Arial" w:cs="Arial" w:eastAsia="Arial" w:hAnsi="Arial"/>
                <w:sz w:val="13"/>
                <w:szCs w:val="13"/>
                <w:color w:val="008000"/>
                <w:w w:val="87"/>
              </w:rPr>
              <w:t>(7)</w:t>
            </w:r>
          </w:p>
        </w:tc>
        <w:tc>
          <w:tcPr>
            <w:tcW w:w="660" w:type="dxa"/>
            <w:vAlign w:val="bottom"/>
            <w:vMerge w:val="restart"/>
          </w:tcPr>
          <w:p>
            <w:pPr>
              <w:ind w:left="340"/>
              <w:spacing w:after="0"/>
              <w:rPr>
                <w:sz w:val="20"/>
                <w:szCs w:val="20"/>
                <w:color w:val="auto"/>
              </w:rPr>
            </w:pPr>
            <w:r>
              <w:rPr>
                <w:rFonts w:ascii="Arial" w:cs="Arial" w:eastAsia="Arial" w:hAnsi="Arial"/>
                <w:sz w:val="20"/>
                <w:szCs w:val="20"/>
                <w:color w:val="0000FF"/>
              </w:rPr>
              <w:t>I</w:t>
            </w:r>
          </w:p>
        </w:tc>
        <w:tc>
          <w:tcPr>
            <w:tcW w:w="1600" w:type="dxa"/>
            <w:vAlign w:val="bottom"/>
            <w:vMerge w:val="restart"/>
          </w:tcPr>
          <w:p>
            <w:pPr>
              <w:ind w:left="260"/>
              <w:spacing w:after="0"/>
              <w:rPr>
                <w:sz w:val="20"/>
                <w:szCs w:val="20"/>
                <w:color w:val="auto"/>
              </w:rPr>
            </w:pPr>
            <w:r>
              <w:rPr>
                <w:rFonts w:ascii="Arial" w:cs="Arial" w:eastAsia="Arial" w:hAnsi="Arial"/>
                <w:sz w:val="20"/>
                <w:szCs w:val="20"/>
                <w:color w:val="0000FF"/>
              </w:rPr>
              <w:t>Bios Fund II</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0" w:type="dxa"/>
            <w:vAlign w:val="bottom"/>
            <w:vMerge w:val="restart"/>
          </w:tcPr>
          <w:p>
            <w:pPr>
              <w:ind w:left="260"/>
              <w:spacing w:after="0" w:line="309" w:lineRule="exact"/>
              <w:rPr>
                <w:sz w:val="20"/>
                <w:szCs w:val="20"/>
                <w:color w:val="auto"/>
              </w:rPr>
            </w:pPr>
            <w:r>
              <w:rPr>
                <w:rFonts w:ascii="Arial" w:cs="Arial" w:eastAsia="Arial" w:hAnsi="Arial"/>
                <w:sz w:val="35"/>
                <w:szCs w:val="35"/>
                <w:color w:val="0000FF"/>
                <w:vertAlign w:val="subscript"/>
              </w:rPr>
              <w:t>NT, LP</w:t>
            </w:r>
            <w:r>
              <w:rPr>
                <w:rFonts w:ascii="Arial" w:cs="Arial" w:eastAsia="Arial" w:hAnsi="Arial"/>
                <w:sz w:val="12"/>
                <w:szCs w:val="12"/>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80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158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w w:val="99"/>
              </w:rPr>
              <w:t>Series B Convertible Preferred</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Arial" w:cs="Arial" w:eastAsia="Arial" w:hAnsi="Arial"/>
                <w:sz w:val="20"/>
                <w:szCs w:val="20"/>
                <w:color w:val="0000FF"/>
                <w:w w:val="96"/>
              </w:rPr>
              <w:t>Directly held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00" w:type="dxa"/>
            <w:vAlign w:val="bottom"/>
            <w:vMerge w:val="continue"/>
          </w:tcPr>
          <w:p>
            <w:pPr>
              <w:spacing w:after="0"/>
              <w:rPr>
                <w:sz w:val="10"/>
                <w:szCs w:val="10"/>
                <w:color w:val="auto"/>
              </w:rPr>
            </w:pPr>
          </w:p>
        </w:tc>
        <w:tc>
          <w:tcPr>
            <w:tcW w:w="1140" w:type="dxa"/>
            <w:vAlign w:val="bottom"/>
            <w:vMerge w:val="restart"/>
          </w:tcPr>
          <w:p>
            <w:pPr>
              <w:jc w:val="center"/>
              <w:ind w:left="150"/>
              <w:spacing w:after="0"/>
              <w:rPr>
                <w:sz w:val="20"/>
                <w:szCs w:val="20"/>
                <w:color w:val="auto"/>
              </w:rPr>
            </w:pPr>
            <w:r>
              <w:rPr>
                <w:rFonts w:ascii="Arial" w:cs="Arial" w:eastAsia="Arial" w:hAnsi="Arial"/>
                <w:sz w:val="13"/>
                <w:szCs w:val="13"/>
                <w:color w:val="008000"/>
              </w:rPr>
              <w:t>(7)</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8000"/>
              </w:rPr>
              <w:t>(7)</w:t>
            </w:r>
          </w:p>
        </w:tc>
        <w:tc>
          <w:tcPr>
            <w:tcW w:w="1580" w:type="dxa"/>
            <w:vAlign w:val="bottom"/>
            <w:vMerge w:val="restart"/>
          </w:tcPr>
          <w:p>
            <w:pPr>
              <w:ind w:left="180"/>
              <w:spacing w:after="0"/>
              <w:rPr>
                <w:sz w:val="20"/>
                <w:szCs w:val="20"/>
                <w:color w:val="auto"/>
              </w:rPr>
            </w:pPr>
            <w:r>
              <w:rPr>
                <w:rFonts w:ascii="Arial" w:cs="Arial" w:eastAsia="Arial" w:hAnsi="Arial"/>
                <w:sz w:val="20"/>
                <w:szCs w:val="20"/>
                <w:color w:val="0000FF"/>
              </w:rPr>
              <w:t>Common Stock</w:t>
            </w:r>
          </w:p>
        </w:tc>
        <w:tc>
          <w:tcPr>
            <w:tcW w:w="1120" w:type="dxa"/>
            <w:vAlign w:val="bottom"/>
            <w:vMerge w:val="restart"/>
          </w:tcPr>
          <w:p>
            <w:pPr>
              <w:jc w:val="center"/>
              <w:spacing w:after="0" w:line="240" w:lineRule="exact"/>
              <w:rPr>
                <w:sz w:val="20"/>
                <w:szCs w:val="20"/>
                <w:color w:val="auto"/>
              </w:rPr>
            </w:pPr>
            <w:r>
              <w:rPr>
                <w:rFonts w:ascii="Arial" w:cs="Arial" w:eastAsia="Arial" w:hAnsi="Arial"/>
                <w:sz w:val="20"/>
                <w:szCs w:val="20"/>
                <w:color w:val="0000FF"/>
                <w:w w:val="84"/>
              </w:rPr>
              <w:t>170,272</w:t>
            </w:r>
            <w:r>
              <w:rPr>
                <w:rFonts w:ascii="Arial" w:cs="Arial" w:eastAsia="Arial" w:hAnsi="Arial"/>
                <w:sz w:val="25"/>
                <w:szCs w:val="25"/>
                <w:color w:val="008000"/>
                <w:w w:val="84"/>
                <w:vertAlign w:val="superscript"/>
              </w:rPr>
              <w:t>(2)</w:t>
            </w:r>
          </w:p>
        </w:tc>
        <w:tc>
          <w:tcPr>
            <w:tcW w:w="980" w:type="dxa"/>
            <w:vAlign w:val="bottom"/>
            <w:vMerge w:val="restart"/>
          </w:tcPr>
          <w:p>
            <w:pPr>
              <w:jc w:val="center"/>
              <w:ind w:right="76"/>
              <w:spacing w:after="0"/>
              <w:rPr>
                <w:sz w:val="20"/>
                <w:szCs w:val="20"/>
                <w:color w:val="auto"/>
              </w:rPr>
            </w:pPr>
            <w:r>
              <w:rPr>
                <w:rFonts w:ascii="Arial" w:cs="Arial" w:eastAsia="Arial" w:hAnsi="Arial"/>
                <w:sz w:val="13"/>
                <w:szCs w:val="13"/>
                <w:color w:val="008000"/>
                <w:w w:val="87"/>
              </w:rPr>
              <w:t>(7)</w:t>
            </w:r>
          </w:p>
        </w:tc>
        <w:tc>
          <w:tcPr>
            <w:tcW w:w="660" w:type="dxa"/>
            <w:vAlign w:val="bottom"/>
            <w:vMerge w:val="restart"/>
          </w:tcPr>
          <w:p>
            <w:pPr>
              <w:ind w:left="340"/>
              <w:spacing w:after="0"/>
              <w:rPr>
                <w:sz w:val="20"/>
                <w:szCs w:val="20"/>
                <w:color w:val="auto"/>
              </w:rPr>
            </w:pPr>
            <w:r>
              <w:rPr>
                <w:rFonts w:ascii="Arial" w:cs="Arial" w:eastAsia="Arial" w:hAnsi="Arial"/>
                <w:sz w:val="20"/>
                <w:szCs w:val="20"/>
                <w:color w:val="0000FF"/>
              </w:rPr>
              <w:t>I</w:t>
            </w:r>
          </w:p>
        </w:tc>
        <w:tc>
          <w:tcPr>
            <w:tcW w:w="1600" w:type="dxa"/>
            <w:vAlign w:val="bottom"/>
            <w:vMerge w:val="restart"/>
          </w:tcPr>
          <w:p>
            <w:pPr>
              <w:ind w:left="260"/>
              <w:spacing w:after="0"/>
              <w:rPr>
                <w:sz w:val="20"/>
                <w:szCs w:val="20"/>
                <w:color w:val="auto"/>
              </w:rPr>
            </w:pPr>
            <w:r>
              <w:rPr>
                <w:rFonts w:ascii="Arial" w:cs="Arial" w:eastAsia="Arial" w:hAnsi="Arial"/>
                <w:sz w:val="20"/>
                <w:szCs w:val="20"/>
                <w:color w:val="0000FF"/>
              </w:rPr>
              <w:t>Bios Fund II</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0" w:type="dxa"/>
            <w:vAlign w:val="bottom"/>
            <w:vMerge w:val="restart"/>
          </w:tcPr>
          <w:p>
            <w:pPr>
              <w:ind w:left="260"/>
              <w:spacing w:after="0" w:line="309" w:lineRule="exact"/>
              <w:rPr>
                <w:sz w:val="20"/>
                <w:szCs w:val="20"/>
                <w:color w:val="auto"/>
              </w:rPr>
            </w:pPr>
            <w:r>
              <w:rPr>
                <w:rFonts w:ascii="Arial" w:cs="Arial" w:eastAsia="Arial" w:hAnsi="Arial"/>
                <w:sz w:val="35"/>
                <w:szCs w:val="35"/>
                <w:color w:val="0000FF"/>
                <w:vertAlign w:val="subscript"/>
              </w:rPr>
              <w:t>QP, LP</w:t>
            </w:r>
            <w:r>
              <w:rPr>
                <w:rFonts w:ascii="Arial" w:cs="Arial" w:eastAsia="Arial" w:hAnsi="Arial"/>
                <w:sz w:val="12"/>
                <w:szCs w:val="12"/>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80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158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w w:val="99"/>
              </w:rPr>
              <w:t>Series B Convertible Preferred</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Arial" w:cs="Arial" w:eastAsia="Arial" w:hAnsi="Arial"/>
                <w:sz w:val="20"/>
                <w:szCs w:val="20"/>
                <w:color w:val="0000FF"/>
                <w:w w:val="96"/>
              </w:rPr>
              <w:t>Directly held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00" w:type="dxa"/>
            <w:vAlign w:val="bottom"/>
            <w:vMerge w:val="continue"/>
          </w:tcPr>
          <w:p>
            <w:pPr>
              <w:spacing w:after="0"/>
              <w:rPr>
                <w:sz w:val="10"/>
                <w:szCs w:val="10"/>
                <w:color w:val="auto"/>
              </w:rPr>
            </w:pPr>
          </w:p>
        </w:tc>
        <w:tc>
          <w:tcPr>
            <w:tcW w:w="1140" w:type="dxa"/>
            <w:vAlign w:val="bottom"/>
            <w:vMerge w:val="restart"/>
          </w:tcPr>
          <w:p>
            <w:pPr>
              <w:jc w:val="center"/>
              <w:ind w:left="150"/>
              <w:spacing w:after="0"/>
              <w:rPr>
                <w:sz w:val="20"/>
                <w:szCs w:val="20"/>
                <w:color w:val="auto"/>
              </w:rPr>
            </w:pPr>
            <w:r>
              <w:rPr>
                <w:rFonts w:ascii="Arial" w:cs="Arial" w:eastAsia="Arial" w:hAnsi="Arial"/>
                <w:sz w:val="13"/>
                <w:szCs w:val="13"/>
                <w:color w:val="008000"/>
              </w:rPr>
              <w:t>(7)</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8000"/>
              </w:rPr>
              <w:t>(7)</w:t>
            </w:r>
          </w:p>
        </w:tc>
        <w:tc>
          <w:tcPr>
            <w:tcW w:w="1580" w:type="dxa"/>
            <w:vAlign w:val="bottom"/>
            <w:vMerge w:val="restart"/>
          </w:tcPr>
          <w:p>
            <w:pPr>
              <w:ind w:left="180"/>
              <w:spacing w:after="0"/>
              <w:rPr>
                <w:sz w:val="20"/>
                <w:szCs w:val="20"/>
                <w:color w:val="auto"/>
              </w:rPr>
            </w:pPr>
            <w:r>
              <w:rPr>
                <w:rFonts w:ascii="Arial" w:cs="Arial" w:eastAsia="Arial" w:hAnsi="Arial"/>
                <w:sz w:val="20"/>
                <w:szCs w:val="20"/>
                <w:color w:val="0000FF"/>
              </w:rPr>
              <w:t>Common Stock</w:t>
            </w:r>
          </w:p>
        </w:tc>
        <w:tc>
          <w:tcPr>
            <w:tcW w:w="1120" w:type="dxa"/>
            <w:vAlign w:val="bottom"/>
            <w:vMerge w:val="restart"/>
          </w:tcPr>
          <w:p>
            <w:pPr>
              <w:jc w:val="center"/>
              <w:spacing w:after="0" w:line="240" w:lineRule="exact"/>
              <w:rPr>
                <w:sz w:val="20"/>
                <w:szCs w:val="20"/>
                <w:color w:val="auto"/>
              </w:rPr>
            </w:pPr>
            <w:r>
              <w:rPr>
                <w:rFonts w:ascii="Arial" w:cs="Arial" w:eastAsia="Arial" w:hAnsi="Arial"/>
                <w:sz w:val="20"/>
                <w:szCs w:val="20"/>
                <w:color w:val="0000FF"/>
                <w:w w:val="84"/>
              </w:rPr>
              <w:t>123,718</w:t>
            </w:r>
            <w:r>
              <w:rPr>
                <w:rFonts w:ascii="Arial" w:cs="Arial" w:eastAsia="Arial" w:hAnsi="Arial"/>
                <w:sz w:val="25"/>
                <w:szCs w:val="25"/>
                <w:color w:val="008000"/>
                <w:w w:val="84"/>
                <w:vertAlign w:val="superscript"/>
              </w:rPr>
              <w:t>(2)</w:t>
            </w:r>
          </w:p>
        </w:tc>
        <w:tc>
          <w:tcPr>
            <w:tcW w:w="980" w:type="dxa"/>
            <w:vAlign w:val="bottom"/>
            <w:vMerge w:val="restart"/>
          </w:tcPr>
          <w:p>
            <w:pPr>
              <w:jc w:val="center"/>
              <w:ind w:right="76"/>
              <w:spacing w:after="0"/>
              <w:rPr>
                <w:sz w:val="20"/>
                <w:szCs w:val="20"/>
                <w:color w:val="auto"/>
              </w:rPr>
            </w:pPr>
            <w:r>
              <w:rPr>
                <w:rFonts w:ascii="Arial" w:cs="Arial" w:eastAsia="Arial" w:hAnsi="Arial"/>
                <w:sz w:val="13"/>
                <w:szCs w:val="13"/>
                <w:color w:val="008000"/>
                <w:w w:val="87"/>
              </w:rPr>
              <w:t>(7)</w:t>
            </w:r>
          </w:p>
        </w:tc>
        <w:tc>
          <w:tcPr>
            <w:tcW w:w="660" w:type="dxa"/>
            <w:vAlign w:val="bottom"/>
            <w:vMerge w:val="restart"/>
          </w:tcPr>
          <w:p>
            <w:pPr>
              <w:ind w:left="340"/>
              <w:spacing w:after="0"/>
              <w:rPr>
                <w:sz w:val="20"/>
                <w:szCs w:val="20"/>
                <w:color w:val="auto"/>
              </w:rPr>
            </w:pPr>
            <w:r>
              <w:rPr>
                <w:rFonts w:ascii="Arial" w:cs="Arial" w:eastAsia="Arial" w:hAnsi="Arial"/>
                <w:sz w:val="20"/>
                <w:szCs w:val="20"/>
                <w:color w:val="0000FF"/>
              </w:rPr>
              <w:t>I</w:t>
            </w:r>
          </w:p>
        </w:tc>
        <w:tc>
          <w:tcPr>
            <w:tcW w:w="1600" w:type="dxa"/>
            <w:vAlign w:val="bottom"/>
            <w:vMerge w:val="restart"/>
          </w:tcPr>
          <w:p>
            <w:pPr>
              <w:ind w:left="260"/>
              <w:spacing w:after="0"/>
              <w:rPr>
                <w:sz w:val="20"/>
                <w:szCs w:val="20"/>
                <w:color w:val="auto"/>
              </w:rPr>
            </w:pPr>
            <w:r>
              <w:rPr>
                <w:rFonts w:ascii="Arial" w:cs="Arial" w:eastAsia="Arial" w:hAnsi="Arial"/>
                <w:sz w:val="20"/>
                <w:szCs w:val="20"/>
                <w:color w:val="0000FF"/>
              </w:rPr>
              <w:t>Bios Fund III,</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0" w:type="dxa"/>
            <w:vAlign w:val="bottom"/>
            <w:vMerge w:val="restart"/>
          </w:tcPr>
          <w:p>
            <w:pPr>
              <w:ind w:left="260"/>
              <w:spacing w:after="0" w:line="309" w:lineRule="exact"/>
              <w:rPr>
                <w:sz w:val="20"/>
                <w:szCs w:val="20"/>
                <w:color w:val="auto"/>
              </w:rPr>
            </w:pPr>
            <w:r>
              <w:rPr>
                <w:rFonts w:ascii="Arial" w:cs="Arial" w:eastAsia="Arial" w:hAnsi="Arial"/>
                <w:sz w:val="35"/>
                <w:szCs w:val="35"/>
                <w:color w:val="0000FF"/>
                <w:vertAlign w:val="subscript"/>
              </w:rPr>
              <w:t>LP</w:t>
            </w:r>
            <w:r>
              <w:rPr>
                <w:rFonts w:ascii="Arial" w:cs="Arial" w:eastAsia="Arial" w:hAnsi="Arial"/>
                <w:sz w:val="12"/>
                <w:szCs w:val="12"/>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80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158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w w:val="99"/>
              </w:rPr>
              <w:t>Series B Convertible Preferred</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Arial" w:cs="Arial" w:eastAsia="Arial" w:hAnsi="Arial"/>
                <w:sz w:val="20"/>
                <w:szCs w:val="20"/>
                <w:color w:val="0000FF"/>
                <w:w w:val="96"/>
              </w:rPr>
              <w:t>Directly held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00" w:type="dxa"/>
            <w:vAlign w:val="bottom"/>
            <w:vMerge w:val="continue"/>
          </w:tcPr>
          <w:p>
            <w:pPr>
              <w:spacing w:after="0"/>
              <w:rPr>
                <w:sz w:val="10"/>
                <w:szCs w:val="10"/>
                <w:color w:val="auto"/>
              </w:rPr>
            </w:pPr>
          </w:p>
        </w:tc>
        <w:tc>
          <w:tcPr>
            <w:tcW w:w="1140" w:type="dxa"/>
            <w:vAlign w:val="bottom"/>
            <w:vMerge w:val="restart"/>
          </w:tcPr>
          <w:p>
            <w:pPr>
              <w:jc w:val="center"/>
              <w:ind w:left="150"/>
              <w:spacing w:after="0"/>
              <w:rPr>
                <w:sz w:val="20"/>
                <w:szCs w:val="20"/>
                <w:color w:val="auto"/>
              </w:rPr>
            </w:pPr>
            <w:r>
              <w:rPr>
                <w:rFonts w:ascii="Arial" w:cs="Arial" w:eastAsia="Arial" w:hAnsi="Arial"/>
                <w:sz w:val="13"/>
                <w:szCs w:val="13"/>
                <w:color w:val="008000"/>
              </w:rPr>
              <w:t>(7)</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8000"/>
              </w:rPr>
              <w:t>(7)</w:t>
            </w:r>
          </w:p>
        </w:tc>
        <w:tc>
          <w:tcPr>
            <w:tcW w:w="1580" w:type="dxa"/>
            <w:vAlign w:val="bottom"/>
            <w:vMerge w:val="restart"/>
          </w:tcPr>
          <w:p>
            <w:pPr>
              <w:ind w:left="180"/>
              <w:spacing w:after="0"/>
              <w:rPr>
                <w:sz w:val="20"/>
                <w:szCs w:val="20"/>
                <w:color w:val="auto"/>
              </w:rPr>
            </w:pPr>
            <w:r>
              <w:rPr>
                <w:rFonts w:ascii="Arial" w:cs="Arial" w:eastAsia="Arial" w:hAnsi="Arial"/>
                <w:sz w:val="20"/>
                <w:szCs w:val="20"/>
                <w:color w:val="0000FF"/>
              </w:rPr>
              <w:t>Common Stock</w:t>
            </w:r>
          </w:p>
        </w:tc>
        <w:tc>
          <w:tcPr>
            <w:tcW w:w="1120" w:type="dxa"/>
            <w:vAlign w:val="bottom"/>
            <w:vMerge w:val="restart"/>
          </w:tcPr>
          <w:p>
            <w:pPr>
              <w:jc w:val="center"/>
              <w:spacing w:after="0" w:line="240" w:lineRule="exact"/>
              <w:rPr>
                <w:sz w:val="20"/>
                <w:szCs w:val="20"/>
                <w:color w:val="auto"/>
              </w:rPr>
            </w:pPr>
            <w:r>
              <w:rPr>
                <w:rFonts w:ascii="Arial" w:cs="Arial" w:eastAsia="Arial" w:hAnsi="Arial"/>
                <w:sz w:val="20"/>
                <w:szCs w:val="20"/>
                <w:color w:val="0000FF"/>
                <w:w w:val="84"/>
              </w:rPr>
              <w:t>130,498</w:t>
            </w:r>
            <w:r>
              <w:rPr>
                <w:rFonts w:ascii="Arial" w:cs="Arial" w:eastAsia="Arial" w:hAnsi="Arial"/>
                <w:sz w:val="25"/>
                <w:szCs w:val="25"/>
                <w:color w:val="008000"/>
                <w:w w:val="84"/>
                <w:vertAlign w:val="superscript"/>
              </w:rPr>
              <w:t>(2)</w:t>
            </w:r>
          </w:p>
        </w:tc>
        <w:tc>
          <w:tcPr>
            <w:tcW w:w="980" w:type="dxa"/>
            <w:vAlign w:val="bottom"/>
            <w:vMerge w:val="restart"/>
          </w:tcPr>
          <w:p>
            <w:pPr>
              <w:jc w:val="center"/>
              <w:ind w:right="76"/>
              <w:spacing w:after="0"/>
              <w:rPr>
                <w:sz w:val="20"/>
                <w:szCs w:val="20"/>
                <w:color w:val="auto"/>
              </w:rPr>
            </w:pPr>
            <w:r>
              <w:rPr>
                <w:rFonts w:ascii="Arial" w:cs="Arial" w:eastAsia="Arial" w:hAnsi="Arial"/>
                <w:sz w:val="13"/>
                <w:szCs w:val="13"/>
                <w:color w:val="008000"/>
                <w:w w:val="87"/>
              </w:rPr>
              <w:t>(7)</w:t>
            </w:r>
          </w:p>
        </w:tc>
        <w:tc>
          <w:tcPr>
            <w:tcW w:w="660" w:type="dxa"/>
            <w:vAlign w:val="bottom"/>
            <w:vMerge w:val="restart"/>
          </w:tcPr>
          <w:p>
            <w:pPr>
              <w:ind w:left="340"/>
              <w:spacing w:after="0"/>
              <w:rPr>
                <w:sz w:val="20"/>
                <w:szCs w:val="20"/>
                <w:color w:val="auto"/>
              </w:rPr>
            </w:pPr>
            <w:r>
              <w:rPr>
                <w:rFonts w:ascii="Arial" w:cs="Arial" w:eastAsia="Arial" w:hAnsi="Arial"/>
                <w:sz w:val="20"/>
                <w:szCs w:val="20"/>
                <w:color w:val="0000FF"/>
              </w:rPr>
              <w:t>I</w:t>
            </w:r>
          </w:p>
        </w:tc>
        <w:tc>
          <w:tcPr>
            <w:tcW w:w="1600" w:type="dxa"/>
            <w:vAlign w:val="bottom"/>
            <w:vMerge w:val="restart"/>
          </w:tcPr>
          <w:p>
            <w:pPr>
              <w:ind w:left="260"/>
              <w:spacing w:after="0"/>
              <w:rPr>
                <w:sz w:val="20"/>
                <w:szCs w:val="20"/>
                <w:color w:val="auto"/>
              </w:rPr>
            </w:pPr>
            <w:r>
              <w:rPr>
                <w:rFonts w:ascii="Arial" w:cs="Arial" w:eastAsia="Arial" w:hAnsi="Arial"/>
                <w:sz w:val="20"/>
                <w:szCs w:val="20"/>
                <w:color w:val="0000FF"/>
              </w:rPr>
              <w:t>Bios Fund III</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0" w:type="dxa"/>
            <w:vAlign w:val="bottom"/>
            <w:vMerge w:val="restart"/>
          </w:tcPr>
          <w:p>
            <w:pPr>
              <w:ind w:left="260"/>
              <w:spacing w:after="0" w:line="309" w:lineRule="exact"/>
              <w:rPr>
                <w:sz w:val="20"/>
                <w:szCs w:val="20"/>
                <w:color w:val="auto"/>
              </w:rPr>
            </w:pPr>
            <w:r>
              <w:rPr>
                <w:rFonts w:ascii="Arial" w:cs="Arial" w:eastAsia="Arial" w:hAnsi="Arial"/>
                <w:sz w:val="35"/>
                <w:szCs w:val="35"/>
                <w:color w:val="0000FF"/>
                <w:vertAlign w:val="subscript"/>
              </w:rPr>
              <w:t>NT, LP</w:t>
            </w:r>
            <w:r>
              <w:rPr>
                <w:rFonts w:ascii="Arial" w:cs="Arial" w:eastAsia="Arial" w:hAnsi="Arial"/>
                <w:sz w:val="12"/>
                <w:szCs w:val="12"/>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80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158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w w:val="99"/>
              </w:rPr>
              <w:t>Series B Convertible Preferred</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Arial" w:cs="Arial" w:eastAsia="Arial" w:hAnsi="Arial"/>
                <w:sz w:val="20"/>
                <w:szCs w:val="20"/>
                <w:color w:val="0000FF"/>
                <w:w w:val="96"/>
              </w:rPr>
              <w:t>Directly held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800" w:type="dxa"/>
            <w:vAlign w:val="bottom"/>
            <w:vMerge w:val="continue"/>
          </w:tcPr>
          <w:p>
            <w:pPr>
              <w:spacing w:after="0"/>
              <w:rPr>
                <w:sz w:val="10"/>
                <w:szCs w:val="10"/>
                <w:color w:val="auto"/>
              </w:rPr>
            </w:pPr>
          </w:p>
        </w:tc>
        <w:tc>
          <w:tcPr>
            <w:tcW w:w="1140" w:type="dxa"/>
            <w:vAlign w:val="bottom"/>
            <w:vMerge w:val="restart"/>
          </w:tcPr>
          <w:p>
            <w:pPr>
              <w:jc w:val="center"/>
              <w:ind w:left="150"/>
              <w:spacing w:after="0"/>
              <w:rPr>
                <w:sz w:val="20"/>
                <w:szCs w:val="20"/>
                <w:color w:val="auto"/>
              </w:rPr>
            </w:pPr>
            <w:r>
              <w:rPr>
                <w:rFonts w:ascii="Arial" w:cs="Arial" w:eastAsia="Arial" w:hAnsi="Arial"/>
                <w:sz w:val="13"/>
                <w:szCs w:val="13"/>
                <w:color w:val="008000"/>
              </w:rPr>
              <w:t>(7)</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8000"/>
              </w:rPr>
              <w:t>(7)</w:t>
            </w:r>
          </w:p>
        </w:tc>
        <w:tc>
          <w:tcPr>
            <w:tcW w:w="1580" w:type="dxa"/>
            <w:vAlign w:val="bottom"/>
            <w:vMerge w:val="restart"/>
          </w:tcPr>
          <w:p>
            <w:pPr>
              <w:ind w:left="180"/>
              <w:spacing w:after="0"/>
              <w:rPr>
                <w:sz w:val="20"/>
                <w:szCs w:val="20"/>
                <w:color w:val="auto"/>
              </w:rPr>
            </w:pPr>
            <w:r>
              <w:rPr>
                <w:rFonts w:ascii="Arial" w:cs="Arial" w:eastAsia="Arial" w:hAnsi="Arial"/>
                <w:sz w:val="20"/>
                <w:szCs w:val="20"/>
                <w:color w:val="0000FF"/>
              </w:rPr>
              <w:t>Common Stock</w:t>
            </w:r>
          </w:p>
        </w:tc>
        <w:tc>
          <w:tcPr>
            <w:tcW w:w="1120" w:type="dxa"/>
            <w:vAlign w:val="bottom"/>
            <w:vMerge w:val="restart"/>
          </w:tcPr>
          <w:p>
            <w:pPr>
              <w:jc w:val="center"/>
              <w:spacing w:after="0" w:line="240" w:lineRule="exact"/>
              <w:rPr>
                <w:sz w:val="20"/>
                <w:szCs w:val="20"/>
                <w:color w:val="auto"/>
              </w:rPr>
            </w:pPr>
            <w:r>
              <w:rPr>
                <w:rFonts w:ascii="Arial" w:cs="Arial" w:eastAsia="Arial" w:hAnsi="Arial"/>
                <w:sz w:val="20"/>
                <w:szCs w:val="20"/>
                <w:color w:val="0000FF"/>
                <w:w w:val="84"/>
              </w:rPr>
              <w:t>808,058</w:t>
            </w:r>
            <w:r>
              <w:rPr>
                <w:rFonts w:ascii="Arial" w:cs="Arial" w:eastAsia="Arial" w:hAnsi="Arial"/>
                <w:sz w:val="25"/>
                <w:szCs w:val="25"/>
                <w:color w:val="008000"/>
                <w:w w:val="84"/>
                <w:vertAlign w:val="superscript"/>
              </w:rPr>
              <w:t>(2)</w:t>
            </w:r>
          </w:p>
        </w:tc>
        <w:tc>
          <w:tcPr>
            <w:tcW w:w="980" w:type="dxa"/>
            <w:vAlign w:val="bottom"/>
            <w:vMerge w:val="restart"/>
          </w:tcPr>
          <w:p>
            <w:pPr>
              <w:jc w:val="center"/>
              <w:ind w:right="76"/>
              <w:spacing w:after="0"/>
              <w:rPr>
                <w:sz w:val="20"/>
                <w:szCs w:val="20"/>
                <w:color w:val="auto"/>
              </w:rPr>
            </w:pPr>
            <w:r>
              <w:rPr>
                <w:rFonts w:ascii="Arial" w:cs="Arial" w:eastAsia="Arial" w:hAnsi="Arial"/>
                <w:sz w:val="13"/>
                <w:szCs w:val="13"/>
                <w:color w:val="008000"/>
                <w:w w:val="87"/>
              </w:rPr>
              <w:t>(7)</w:t>
            </w:r>
          </w:p>
        </w:tc>
        <w:tc>
          <w:tcPr>
            <w:tcW w:w="660" w:type="dxa"/>
            <w:vAlign w:val="bottom"/>
            <w:vMerge w:val="restart"/>
          </w:tcPr>
          <w:p>
            <w:pPr>
              <w:ind w:left="340"/>
              <w:spacing w:after="0"/>
              <w:rPr>
                <w:sz w:val="20"/>
                <w:szCs w:val="20"/>
                <w:color w:val="auto"/>
              </w:rPr>
            </w:pPr>
            <w:r>
              <w:rPr>
                <w:rFonts w:ascii="Arial" w:cs="Arial" w:eastAsia="Arial" w:hAnsi="Arial"/>
                <w:sz w:val="20"/>
                <w:szCs w:val="20"/>
                <w:color w:val="0000FF"/>
              </w:rPr>
              <w:t>I</w:t>
            </w:r>
          </w:p>
        </w:tc>
        <w:tc>
          <w:tcPr>
            <w:tcW w:w="1600" w:type="dxa"/>
            <w:vAlign w:val="bottom"/>
            <w:vMerge w:val="restart"/>
          </w:tcPr>
          <w:p>
            <w:pPr>
              <w:ind w:left="260"/>
              <w:spacing w:after="0"/>
              <w:rPr>
                <w:sz w:val="20"/>
                <w:szCs w:val="20"/>
                <w:color w:val="auto"/>
              </w:rPr>
            </w:pPr>
            <w:r>
              <w:rPr>
                <w:rFonts w:ascii="Arial" w:cs="Arial" w:eastAsia="Arial" w:hAnsi="Arial"/>
                <w:sz w:val="20"/>
                <w:szCs w:val="20"/>
                <w:color w:val="0000FF"/>
              </w:rPr>
              <w:t>Bios Fund III</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00" w:type="dxa"/>
            <w:vAlign w:val="bottom"/>
            <w:vMerge w:val="restart"/>
          </w:tcPr>
          <w:p>
            <w:pPr>
              <w:ind w:left="80"/>
              <w:spacing w:after="0"/>
              <w:rPr>
                <w:sz w:val="20"/>
                <w:szCs w:val="20"/>
                <w:color w:val="auto"/>
              </w:rPr>
            </w:pPr>
            <w:r>
              <w:rPr>
                <w:rFonts w:ascii="Arial" w:cs="Arial" w:eastAsia="Arial" w:hAnsi="Arial"/>
                <w:sz w:val="20"/>
                <w:szCs w:val="20"/>
                <w:color w:val="0000FF"/>
              </w:rPr>
              <w:t>Stock</w:t>
            </w:r>
          </w:p>
        </w:tc>
        <w:tc>
          <w:tcPr>
            <w:tcW w:w="11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0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0" w:type="dxa"/>
            <w:vAlign w:val="bottom"/>
            <w:vMerge w:val="restart"/>
          </w:tcPr>
          <w:p>
            <w:pPr>
              <w:ind w:left="260"/>
              <w:spacing w:after="0" w:line="309" w:lineRule="exact"/>
              <w:rPr>
                <w:sz w:val="20"/>
                <w:szCs w:val="20"/>
                <w:color w:val="auto"/>
              </w:rPr>
            </w:pPr>
            <w:r>
              <w:rPr>
                <w:rFonts w:ascii="Arial" w:cs="Arial" w:eastAsia="Arial" w:hAnsi="Arial"/>
                <w:sz w:val="35"/>
                <w:szCs w:val="35"/>
                <w:color w:val="0000FF"/>
                <w:vertAlign w:val="subscript"/>
              </w:rPr>
              <w:t>QP, LP</w:t>
            </w:r>
            <w:r>
              <w:rPr>
                <w:rFonts w:ascii="Arial" w:cs="Arial" w:eastAsia="Arial" w:hAnsi="Arial"/>
                <w:sz w:val="12"/>
                <w:szCs w:val="12"/>
                <w:color w:val="008000"/>
              </w:rPr>
              <w:t>(3)(4)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80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1020" w:type="dxa"/>
            <w:vAlign w:val="bottom"/>
            <w:tcBorders>
              <w:bottom w:val="single" w:sz="8" w:color="2C2C2C"/>
            </w:tcBorders>
          </w:tcPr>
          <w:p>
            <w:pPr>
              <w:spacing w:after="0"/>
              <w:rPr>
                <w:sz w:val="16"/>
                <w:szCs w:val="16"/>
                <w:color w:val="auto"/>
              </w:rPr>
            </w:pPr>
          </w:p>
        </w:tc>
        <w:tc>
          <w:tcPr>
            <w:tcW w:w="1580" w:type="dxa"/>
            <w:vAlign w:val="bottom"/>
            <w:tcBorders>
              <w:bottom w:val="single" w:sz="8" w:color="2C2C2C"/>
            </w:tcBorders>
          </w:tcPr>
          <w:p>
            <w:pPr>
              <w:spacing w:after="0"/>
              <w:rPr>
                <w:sz w:val="16"/>
                <w:szCs w:val="16"/>
                <w:color w:val="auto"/>
              </w:rPr>
            </w:pPr>
          </w:p>
        </w:tc>
        <w:tc>
          <w:tcPr>
            <w:tcW w:w="1120" w:type="dxa"/>
            <w:vAlign w:val="bottom"/>
            <w:tcBorders>
              <w:bottom w:val="single" w:sz="8" w:color="2C2C2C"/>
            </w:tcBorders>
          </w:tcPr>
          <w:p>
            <w:pPr>
              <w:spacing w:after="0"/>
              <w:rPr>
                <w:sz w:val="16"/>
                <w:szCs w:val="16"/>
                <w:color w:val="auto"/>
              </w:rPr>
            </w:pPr>
          </w:p>
        </w:tc>
        <w:tc>
          <w:tcPr>
            <w:tcW w:w="9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600" w:type="dxa"/>
            <w:vAlign w:val="bottom"/>
            <w:tcBorders>
              <w:bottom w:val="single" w:sz="8" w:color="2C2C2C"/>
            </w:tcBorders>
            <w:vMerge w:val="continue"/>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Arial" w:cs="Arial" w:eastAsia="Arial" w:hAnsi="Arial"/>
                <w:sz w:val="20"/>
                <w:szCs w:val="20"/>
                <w:color w:val="0000FF"/>
                <w:w w:val="96"/>
              </w:rPr>
              <w:t>Directly held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00" w:type="dxa"/>
            <w:vAlign w:val="bottom"/>
          </w:tcPr>
          <w:p>
            <w:pPr>
              <w:ind w:left="80"/>
              <w:spacing w:after="0"/>
              <w:rPr>
                <w:sz w:val="20"/>
                <w:szCs w:val="20"/>
                <w:color w:val="auto"/>
              </w:rPr>
            </w:pPr>
            <w:r>
              <w:rPr>
                <w:rFonts w:ascii="Arial" w:cs="Arial" w:eastAsia="Arial" w:hAnsi="Arial"/>
                <w:sz w:val="20"/>
                <w:szCs w:val="20"/>
                <w:color w:val="0000FF"/>
              </w:rPr>
              <w:t>Warrants (Right to Buy)</w:t>
            </w:r>
          </w:p>
        </w:tc>
        <w:tc>
          <w:tcPr>
            <w:tcW w:w="1140" w:type="dxa"/>
            <w:vAlign w:val="bottom"/>
          </w:tcPr>
          <w:p>
            <w:pPr>
              <w:jc w:val="center"/>
              <w:ind w:left="150"/>
              <w:spacing w:after="0"/>
              <w:rPr>
                <w:sz w:val="20"/>
                <w:szCs w:val="20"/>
                <w:color w:val="auto"/>
              </w:rPr>
            </w:pPr>
            <w:r>
              <w:rPr>
                <w:rFonts w:ascii="Arial" w:cs="Arial" w:eastAsia="Arial" w:hAnsi="Arial"/>
                <w:sz w:val="15"/>
                <w:szCs w:val="15"/>
                <w:color w:val="0000FF"/>
                <w:w w:val="90"/>
              </w:rPr>
              <w:t>04/13/2018</w:t>
            </w:r>
          </w:p>
        </w:tc>
        <w:tc>
          <w:tcPr>
            <w:tcW w:w="1020" w:type="dxa"/>
            <w:vAlign w:val="bottom"/>
          </w:tcPr>
          <w:p>
            <w:pPr>
              <w:jc w:val="center"/>
              <w:spacing w:after="0"/>
              <w:rPr>
                <w:sz w:val="20"/>
                <w:szCs w:val="20"/>
                <w:color w:val="auto"/>
              </w:rPr>
            </w:pPr>
            <w:r>
              <w:rPr>
                <w:rFonts w:ascii="Arial" w:cs="Arial" w:eastAsia="Arial" w:hAnsi="Arial"/>
                <w:sz w:val="15"/>
                <w:szCs w:val="15"/>
                <w:color w:val="0000FF"/>
                <w:w w:val="90"/>
              </w:rPr>
              <w:t>04/13/2028</w:t>
            </w:r>
          </w:p>
        </w:tc>
        <w:tc>
          <w:tcPr>
            <w:tcW w:w="1580" w:type="dxa"/>
            <w:vAlign w:val="bottom"/>
          </w:tcPr>
          <w:p>
            <w:pPr>
              <w:ind w:left="180"/>
              <w:spacing w:after="0"/>
              <w:rPr>
                <w:sz w:val="20"/>
                <w:szCs w:val="20"/>
                <w:color w:val="auto"/>
              </w:rPr>
            </w:pPr>
            <w:r>
              <w:rPr>
                <w:rFonts w:ascii="Arial" w:cs="Arial" w:eastAsia="Arial" w:hAnsi="Arial"/>
                <w:sz w:val="20"/>
                <w:szCs w:val="20"/>
                <w:color w:val="0000FF"/>
              </w:rPr>
              <w:t>Common Stock</w:t>
            </w:r>
          </w:p>
        </w:tc>
        <w:tc>
          <w:tcPr>
            <w:tcW w:w="1120" w:type="dxa"/>
            <w:vAlign w:val="bottom"/>
          </w:tcPr>
          <w:p>
            <w:pPr>
              <w:jc w:val="center"/>
              <w:spacing w:after="0" w:line="240" w:lineRule="exact"/>
              <w:rPr>
                <w:sz w:val="20"/>
                <w:szCs w:val="20"/>
                <w:color w:val="auto"/>
              </w:rPr>
            </w:pPr>
            <w:r>
              <w:rPr>
                <w:rFonts w:ascii="Arial" w:cs="Arial" w:eastAsia="Arial" w:hAnsi="Arial"/>
                <w:sz w:val="20"/>
                <w:szCs w:val="20"/>
                <w:color w:val="0000FF"/>
                <w:w w:val="82"/>
              </w:rPr>
              <w:t>4,011</w:t>
            </w:r>
            <w:r>
              <w:rPr>
                <w:rFonts w:ascii="Arial" w:cs="Arial" w:eastAsia="Arial" w:hAnsi="Arial"/>
                <w:sz w:val="25"/>
                <w:szCs w:val="25"/>
                <w:color w:val="008000"/>
                <w:w w:val="82"/>
                <w:vertAlign w:val="superscript"/>
              </w:rPr>
              <w:t>(2)</w:t>
            </w:r>
          </w:p>
        </w:tc>
        <w:tc>
          <w:tcPr>
            <w:tcW w:w="980" w:type="dxa"/>
            <w:vAlign w:val="bottom"/>
          </w:tcPr>
          <w:p>
            <w:pPr>
              <w:jc w:val="center"/>
              <w:ind w:right="76"/>
              <w:spacing w:after="0" w:line="240" w:lineRule="exact"/>
              <w:rPr>
                <w:sz w:val="20"/>
                <w:szCs w:val="20"/>
                <w:color w:val="auto"/>
              </w:rPr>
            </w:pPr>
            <w:r>
              <w:rPr>
                <w:rFonts w:ascii="Arial" w:cs="Arial" w:eastAsia="Arial" w:hAnsi="Arial"/>
                <w:sz w:val="20"/>
                <w:szCs w:val="20"/>
                <w:color w:val="0000FF"/>
                <w:w w:val="84"/>
              </w:rPr>
              <w:t>0.48</w:t>
            </w:r>
            <w:r>
              <w:rPr>
                <w:rFonts w:ascii="Arial" w:cs="Arial" w:eastAsia="Arial" w:hAnsi="Arial"/>
                <w:sz w:val="25"/>
                <w:szCs w:val="25"/>
                <w:color w:val="008000"/>
                <w:w w:val="84"/>
                <w:vertAlign w:val="superscript"/>
              </w:rPr>
              <w:t>(8)</w:t>
            </w:r>
          </w:p>
        </w:tc>
        <w:tc>
          <w:tcPr>
            <w:tcW w:w="660" w:type="dxa"/>
            <w:vAlign w:val="bottom"/>
          </w:tcPr>
          <w:p>
            <w:pPr>
              <w:ind w:left="340"/>
              <w:spacing w:after="0"/>
              <w:rPr>
                <w:sz w:val="20"/>
                <w:szCs w:val="20"/>
                <w:color w:val="auto"/>
              </w:rPr>
            </w:pPr>
            <w:r>
              <w:rPr>
                <w:rFonts w:ascii="Arial" w:cs="Arial" w:eastAsia="Arial" w:hAnsi="Arial"/>
                <w:sz w:val="20"/>
                <w:szCs w:val="20"/>
                <w:color w:val="0000FF"/>
              </w:rPr>
              <w:t>I</w:t>
            </w:r>
          </w:p>
        </w:tc>
        <w:tc>
          <w:tcPr>
            <w:tcW w:w="1600" w:type="dxa"/>
            <w:vAlign w:val="bottom"/>
          </w:tcPr>
          <w:p>
            <w:pPr>
              <w:ind w:left="260"/>
              <w:spacing w:after="0"/>
              <w:rPr>
                <w:sz w:val="20"/>
                <w:szCs w:val="20"/>
                <w:color w:val="auto"/>
              </w:rPr>
            </w:pPr>
            <w:r>
              <w:rPr>
                <w:rFonts w:ascii="Arial" w:cs="Arial" w:eastAsia="Arial" w:hAnsi="Arial"/>
                <w:sz w:val="20"/>
                <w:szCs w:val="20"/>
                <w:color w:val="0000FF"/>
              </w:rPr>
              <w:t>Bios Fund II,</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2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260"/>
              <w:spacing w:after="0" w:line="309" w:lineRule="exact"/>
              <w:rPr>
                <w:sz w:val="20"/>
                <w:szCs w:val="20"/>
                <w:color w:val="auto"/>
              </w:rPr>
            </w:pPr>
            <w:r>
              <w:rPr>
                <w:rFonts w:ascii="Arial" w:cs="Arial" w:eastAsia="Arial" w:hAnsi="Arial"/>
                <w:sz w:val="35"/>
                <w:szCs w:val="35"/>
                <w:color w:val="0000FF"/>
                <w:vertAlign w:val="subscript"/>
              </w:rPr>
              <w:t>LP</w:t>
            </w:r>
            <w:r>
              <w:rPr>
                <w:rFonts w:ascii="Arial" w:cs="Arial" w:eastAsia="Arial" w:hAnsi="Arial"/>
                <w:sz w:val="12"/>
                <w:szCs w:val="12"/>
                <w:color w:val="008000"/>
              </w:rPr>
              <w:t>(3)(4)</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Arial" w:cs="Arial" w:eastAsia="Arial" w:hAnsi="Arial"/>
                <w:sz w:val="20"/>
                <w:szCs w:val="20"/>
                <w:color w:val="0000FF"/>
                <w:w w:val="96"/>
              </w:rPr>
              <w:t>Directly held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00" w:type="dxa"/>
            <w:vAlign w:val="bottom"/>
          </w:tcPr>
          <w:p>
            <w:pPr>
              <w:ind w:left="80"/>
              <w:spacing w:after="0"/>
              <w:rPr>
                <w:sz w:val="20"/>
                <w:szCs w:val="20"/>
                <w:color w:val="auto"/>
              </w:rPr>
            </w:pPr>
            <w:r>
              <w:rPr>
                <w:rFonts w:ascii="Arial" w:cs="Arial" w:eastAsia="Arial" w:hAnsi="Arial"/>
                <w:sz w:val="20"/>
                <w:szCs w:val="20"/>
                <w:color w:val="0000FF"/>
              </w:rPr>
              <w:t>Warrants (Right to Buy)</w:t>
            </w:r>
          </w:p>
        </w:tc>
        <w:tc>
          <w:tcPr>
            <w:tcW w:w="1140" w:type="dxa"/>
            <w:vAlign w:val="bottom"/>
          </w:tcPr>
          <w:p>
            <w:pPr>
              <w:jc w:val="center"/>
              <w:ind w:left="150"/>
              <w:spacing w:after="0"/>
              <w:rPr>
                <w:sz w:val="20"/>
                <w:szCs w:val="20"/>
                <w:color w:val="auto"/>
              </w:rPr>
            </w:pPr>
            <w:r>
              <w:rPr>
                <w:rFonts w:ascii="Arial" w:cs="Arial" w:eastAsia="Arial" w:hAnsi="Arial"/>
                <w:sz w:val="15"/>
                <w:szCs w:val="15"/>
                <w:color w:val="0000FF"/>
                <w:w w:val="90"/>
              </w:rPr>
              <w:t>04/13/2018</w:t>
            </w:r>
          </w:p>
        </w:tc>
        <w:tc>
          <w:tcPr>
            <w:tcW w:w="1020" w:type="dxa"/>
            <w:vAlign w:val="bottom"/>
          </w:tcPr>
          <w:p>
            <w:pPr>
              <w:jc w:val="center"/>
              <w:spacing w:after="0"/>
              <w:rPr>
                <w:sz w:val="20"/>
                <w:szCs w:val="20"/>
                <w:color w:val="auto"/>
              </w:rPr>
            </w:pPr>
            <w:r>
              <w:rPr>
                <w:rFonts w:ascii="Arial" w:cs="Arial" w:eastAsia="Arial" w:hAnsi="Arial"/>
                <w:sz w:val="15"/>
                <w:szCs w:val="15"/>
                <w:color w:val="0000FF"/>
                <w:w w:val="90"/>
              </w:rPr>
              <w:t>04/13/2028</w:t>
            </w:r>
          </w:p>
        </w:tc>
        <w:tc>
          <w:tcPr>
            <w:tcW w:w="1580" w:type="dxa"/>
            <w:vAlign w:val="bottom"/>
          </w:tcPr>
          <w:p>
            <w:pPr>
              <w:ind w:left="180"/>
              <w:spacing w:after="0"/>
              <w:rPr>
                <w:sz w:val="20"/>
                <w:szCs w:val="20"/>
                <w:color w:val="auto"/>
              </w:rPr>
            </w:pPr>
            <w:r>
              <w:rPr>
                <w:rFonts w:ascii="Arial" w:cs="Arial" w:eastAsia="Arial" w:hAnsi="Arial"/>
                <w:sz w:val="20"/>
                <w:szCs w:val="20"/>
                <w:color w:val="0000FF"/>
              </w:rPr>
              <w:t>Common Stock</w:t>
            </w:r>
          </w:p>
        </w:tc>
        <w:tc>
          <w:tcPr>
            <w:tcW w:w="1120" w:type="dxa"/>
            <w:vAlign w:val="bottom"/>
          </w:tcPr>
          <w:p>
            <w:pPr>
              <w:jc w:val="center"/>
              <w:spacing w:after="0" w:line="240" w:lineRule="exact"/>
              <w:rPr>
                <w:sz w:val="20"/>
                <w:szCs w:val="20"/>
                <w:color w:val="auto"/>
              </w:rPr>
            </w:pPr>
            <w:r>
              <w:rPr>
                <w:rFonts w:ascii="Arial" w:cs="Arial" w:eastAsia="Arial" w:hAnsi="Arial"/>
                <w:sz w:val="20"/>
                <w:szCs w:val="20"/>
                <w:color w:val="0000FF"/>
                <w:w w:val="82"/>
              </w:rPr>
              <w:t>1,753</w:t>
            </w:r>
            <w:r>
              <w:rPr>
                <w:rFonts w:ascii="Arial" w:cs="Arial" w:eastAsia="Arial" w:hAnsi="Arial"/>
                <w:sz w:val="25"/>
                <w:szCs w:val="25"/>
                <w:color w:val="008000"/>
                <w:w w:val="82"/>
                <w:vertAlign w:val="superscript"/>
              </w:rPr>
              <w:t>(2)</w:t>
            </w:r>
          </w:p>
        </w:tc>
        <w:tc>
          <w:tcPr>
            <w:tcW w:w="980" w:type="dxa"/>
            <w:vAlign w:val="bottom"/>
          </w:tcPr>
          <w:p>
            <w:pPr>
              <w:jc w:val="center"/>
              <w:ind w:right="76"/>
              <w:spacing w:after="0" w:line="240" w:lineRule="exact"/>
              <w:rPr>
                <w:sz w:val="20"/>
                <w:szCs w:val="20"/>
                <w:color w:val="auto"/>
              </w:rPr>
            </w:pPr>
            <w:r>
              <w:rPr>
                <w:rFonts w:ascii="Arial" w:cs="Arial" w:eastAsia="Arial" w:hAnsi="Arial"/>
                <w:sz w:val="20"/>
                <w:szCs w:val="20"/>
                <w:color w:val="0000FF"/>
                <w:w w:val="84"/>
              </w:rPr>
              <w:t>0.48</w:t>
            </w:r>
            <w:r>
              <w:rPr>
                <w:rFonts w:ascii="Arial" w:cs="Arial" w:eastAsia="Arial" w:hAnsi="Arial"/>
                <w:sz w:val="25"/>
                <w:szCs w:val="25"/>
                <w:color w:val="008000"/>
                <w:w w:val="84"/>
                <w:vertAlign w:val="superscript"/>
              </w:rPr>
              <w:t>(8)</w:t>
            </w:r>
          </w:p>
        </w:tc>
        <w:tc>
          <w:tcPr>
            <w:tcW w:w="660" w:type="dxa"/>
            <w:vAlign w:val="bottom"/>
          </w:tcPr>
          <w:p>
            <w:pPr>
              <w:ind w:left="340"/>
              <w:spacing w:after="0"/>
              <w:rPr>
                <w:sz w:val="20"/>
                <w:szCs w:val="20"/>
                <w:color w:val="auto"/>
              </w:rPr>
            </w:pPr>
            <w:r>
              <w:rPr>
                <w:rFonts w:ascii="Arial" w:cs="Arial" w:eastAsia="Arial" w:hAnsi="Arial"/>
                <w:sz w:val="20"/>
                <w:szCs w:val="20"/>
                <w:color w:val="0000FF"/>
              </w:rPr>
              <w:t>I</w:t>
            </w:r>
          </w:p>
        </w:tc>
        <w:tc>
          <w:tcPr>
            <w:tcW w:w="1600" w:type="dxa"/>
            <w:vAlign w:val="bottom"/>
          </w:tcPr>
          <w:p>
            <w:pPr>
              <w:ind w:left="260"/>
              <w:spacing w:after="0"/>
              <w:rPr>
                <w:sz w:val="20"/>
                <w:szCs w:val="20"/>
                <w:color w:val="auto"/>
              </w:rPr>
            </w:pPr>
            <w:r>
              <w:rPr>
                <w:rFonts w:ascii="Arial" w:cs="Arial" w:eastAsia="Arial" w:hAnsi="Arial"/>
                <w:sz w:val="20"/>
                <w:szCs w:val="20"/>
                <w:color w:val="0000FF"/>
              </w:rPr>
              <w:t>Bios Fund II</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2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260"/>
              <w:spacing w:after="0" w:line="309" w:lineRule="exact"/>
              <w:rPr>
                <w:sz w:val="20"/>
                <w:szCs w:val="20"/>
                <w:color w:val="auto"/>
              </w:rPr>
            </w:pPr>
            <w:r>
              <w:rPr>
                <w:rFonts w:ascii="Arial" w:cs="Arial" w:eastAsia="Arial" w:hAnsi="Arial"/>
                <w:sz w:val="35"/>
                <w:szCs w:val="35"/>
                <w:color w:val="0000FF"/>
                <w:vertAlign w:val="subscript"/>
              </w:rPr>
              <w:t>NT, LP</w:t>
            </w:r>
            <w:r>
              <w:rPr>
                <w:rFonts w:ascii="Arial" w:cs="Arial" w:eastAsia="Arial" w:hAnsi="Arial"/>
                <w:sz w:val="12"/>
                <w:szCs w:val="12"/>
                <w:color w:val="008000"/>
              </w:rPr>
              <w:t>(3)(4)</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Arial" w:cs="Arial" w:eastAsia="Arial" w:hAnsi="Arial"/>
                <w:sz w:val="20"/>
                <w:szCs w:val="20"/>
                <w:color w:val="0000FF"/>
                <w:w w:val="96"/>
              </w:rPr>
              <w:t>Directly held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00" w:type="dxa"/>
            <w:vAlign w:val="bottom"/>
          </w:tcPr>
          <w:p>
            <w:pPr>
              <w:ind w:left="80"/>
              <w:spacing w:after="0"/>
              <w:rPr>
                <w:sz w:val="20"/>
                <w:szCs w:val="20"/>
                <w:color w:val="auto"/>
              </w:rPr>
            </w:pPr>
            <w:r>
              <w:rPr>
                <w:rFonts w:ascii="Arial" w:cs="Arial" w:eastAsia="Arial" w:hAnsi="Arial"/>
                <w:sz w:val="20"/>
                <w:szCs w:val="20"/>
                <w:color w:val="0000FF"/>
              </w:rPr>
              <w:t>Warrants (Right to Buy)</w:t>
            </w:r>
          </w:p>
        </w:tc>
        <w:tc>
          <w:tcPr>
            <w:tcW w:w="1140" w:type="dxa"/>
            <w:vAlign w:val="bottom"/>
          </w:tcPr>
          <w:p>
            <w:pPr>
              <w:jc w:val="center"/>
              <w:ind w:left="150"/>
              <w:spacing w:after="0"/>
              <w:rPr>
                <w:sz w:val="20"/>
                <w:szCs w:val="20"/>
                <w:color w:val="auto"/>
              </w:rPr>
            </w:pPr>
            <w:r>
              <w:rPr>
                <w:rFonts w:ascii="Arial" w:cs="Arial" w:eastAsia="Arial" w:hAnsi="Arial"/>
                <w:sz w:val="15"/>
                <w:szCs w:val="15"/>
                <w:color w:val="0000FF"/>
                <w:w w:val="90"/>
              </w:rPr>
              <w:t>04/13/2018</w:t>
            </w:r>
          </w:p>
        </w:tc>
        <w:tc>
          <w:tcPr>
            <w:tcW w:w="1020" w:type="dxa"/>
            <w:vAlign w:val="bottom"/>
          </w:tcPr>
          <w:p>
            <w:pPr>
              <w:jc w:val="center"/>
              <w:spacing w:after="0"/>
              <w:rPr>
                <w:sz w:val="20"/>
                <w:szCs w:val="20"/>
                <w:color w:val="auto"/>
              </w:rPr>
            </w:pPr>
            <w:r>
              <w:rPr>
                <w:rFonts w:ascii="Arial" w:cs="Arial" w:eastAsia="Arial" w:hAnsi="Arial"/>
                <w:sz w:val="15"/>
                <w:szCs w:val="15"/>
                <w:color w:val="0000FF"/>
                <w:w w:val="90"/>
              </w:rPr>
              <w:t>04/13/2028</w:t>
            </w:r>
          </w:p>
        </w:tc>
        <w:tc>
          <w:tcPr>
            <w:tcW w:w="1580" w:type="dxa"/>
            <w:vAlign w:val="bottom"/>
          </w:tcPr>
          <w:p>
            <w:pPr>
              <w:ind w:left="180"/>
              <w:spacing w:after="0"/>
              <w:rPr>
                <w:sz w:val="20"/>
                <w:szCs w:val="20"/>
                <w:color w:val="auto"/>
              </w:rPr>
            </w:pPr>
            <w:r>
              <w:rPr>
                <w:rFonts w:ascii="Arial" w:cs="Arial" w:eastAsia="Arial" w:hAnsi="Arial"/>
                <w:sz w:val="20"/>
                <w:szCs w:val="20"/>
                <w:color w:val="0000FF"/>
              </w:rPr>
              <w:t>Common Stock</w:t>
            </w:r>
          </w:p>
        </w:tc>
        <w:tc>
          <w:tcPr>
            <w:tcW w:w="1120" w:type="dxa"/>
            <w:vAlign w:val="bottom"/>
          </w:tcPr>
          <w:p>
            <w:pPr>
              <w:jc w:val="center"/>
              <w:spacing w:after="0" w:line="240" w:lineRule="exact"/>
              <w:rPr>
                <w:sz w:val="20"/>
                <w:szCs w:val="20"/>
                <w:color w:val="auto"/>
              </w:rPr>
            </w:pPr>
            <w:r>
              <w:rPr>
                <w:rFonts w:ascii="Arial" w:cs="Arial" w:eastAsia="Arial" w:hAnsi="Arial"/>
                <w:sz w:val="20"/>
                <w:szCs w:val="20"/>
                <w:color w:val="0000FF"/>
                <w:w w:val="83"/>
              </w:rPr>
              <w:t>13,092</w:t>
            </w:r>
            <w:r>
              <w:rPr>
                <w:rFonts w:ascii="Arial" w:cs="Arial" w:eastAsia="Arial" w:hAnsi="Arial"/>
                <w:sz w:val="25"/>
                <w:szCs w:val="25"/>
                <w:color w:val="008000"/>
                <w:w w:val="83"/>
                <w:vertAlign w:val="superscript"/>
              </w:rPr>
              <w:t>(2)</w:t>
            </w:r>
          </w:p>
        </w:tc>
        <w:tc>
          <w:tcPr>
            <w:tcW w:w="980" w:type="dxa"/>
            <w:vAlign w:val="bottom"/>
          </w:tcPr>
          <w:p>
            <w:pPr>
              <w:jc w:val="center"/>
              <w:ind w:right="76"/>
              <w:spacing w:after="0" w:line="240" w:lineRule="exact"/>
              <w:rPr>
                <w:sz w:val="20"/>
                <w:szCs w:val="20"/>
                <w:color w:val="auto"/>
              </w:rPr>
            </w:pPr>
            <w:r>
              <w:rPr>
                <w:rFonts w:ascii="Arial" w:cs="Arial" w:eastAsia="Arial" w:hAnsi="Arial"/>
                <w:sz w:val="20"/>
                <w:szCs w:val="20"/>
                <w:color w:val="0000FF"/>
                <w:w w:val="84"/>
              </w:rPr>
              <w:t>0.48</w:t>
            </w:r>
            <w:r>
              <w:rPr>
                <w:rFonts w:ascii="Arial" w:cs="Arial" w:eastAsia="Arial" w:hAnsi="Arial"/>
                <w:sz w:val="25"/>
                <w:szCs w:val="25"/>
                <w:color w:val="008000"/>
                <w:w w:val="84"/>
                <w:vertAlign w:val="superscript"/>
              </w:rPr>
              <w:t>(8)</w:t>
            </w:r>
          </w:p>
        </w:tc>
        <w:tc>
          <w:tcPr>
            <w:tcW w:w="660" w:type="dxa"/>
            <w:vAlign w:val="bottom"/>
          </w:tcPr>
          <w:p>
            <w:pPr>
              <w:ind w:left="340"/>
              <w:spacing w:after="0"/>
              <w:rPr>
                <w:sz w:val="20"/>
                <w:szCs w:val="20"/>
                <w:color w:val="auto"/>
              </w:rPr>
            </w:pPr>
            <w:r>
              <w:rPr>
                <w:rFonts w:ascii="Arial" w:cs="Arial" w:eastAsia="Arial" w:hAnsi="Arial"/>
                <w:sz w:val="20"/>
                <w:szCs w:val="20"/>
                <w:color w:val="0000FF"/>
              </w:rPr>
              <w:t>I</w:t>
            </w:r>
          </w:p>
        </w:tc>
        <w:tc>
          <w:tcPr>
            <w:tcW w:w="1600" w:type="dxa"/>
            <w:vAlign w:val="bottom"/>
          </w:tcPr>
          <w:p>
            <w:pPr>
              <w:ind w:left="260"/>
              <w:spacing w:after="0"/>
              <w:rPr>
                <w:sz w:val="20"/>
                <w:szCs w:val="20"/>
                <w:color w:val="auto"/>
              </w:rPr>
            </w:pPr>
            <w:r>
              <w:rPr>
                <w:rFonts w:ascii="Arial" w:cs="Arial" w:eastAsia="Arial" w:hAnsi="Arial"/>
                <w:sz w:val="20"/>
                <w:szCs w:val="20"/>
                <w:color w:val="0000FF"/>
              </w:rPr>
              <w:t>Bios Fund II</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2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260"/>
              <w:spacing w:after="0" w:line="309" w:lineRule="exact"/>
              <w:rPr>
                <w:sz w:val="20"/>
                <w:szCs w:val="20"/>
                <w:color w:val="auto"/>
              </w:rPr>
            </w:pPr>
            <w:r>
              <w:rPr>
                <w:rFonts w:ascii="Arial" w:cs="Arial" w:eastAsia="Arial" w:hAnsi="Arial"/>
                <w:sz w:val="35"/>
                <w:szCs w:val="35"/>
                <w:color w:val="0000FF"/>
                <w:vertAlign w:val="subscript"/>
              </w:rPr>
              <w:t>QP, LP</w:t>
            </w:r>
            <w:r>
              <w:rPr>
                <w:rFonts w:ascii="Arial" w:cs="Arial" w:eastAsia="Arial" w:hAnsi="Arial"/>
                <w:sz w:val="12"/>
                <w:szCs w:val="12"/>
                <w:color w:val="008000"/>
              </w:rPr>
              <w:t>(3)(4)</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Arial" w:cs="Arial" w:eastAsia="Arial" w:hAnsi="Arial"/>
                <w:sz w:val="20"/>
                <w:szCs w:val="20"/>
                <w:color w:val="0000FF"/>
                <w:w w:val="96"/>
              </w:rPr>
              <w:t>Directly held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00" w:type="dxa"/>
            <w:vAlign w:val="bottom"/>
          </w:tcPr>
          <w:p>
            <w:pPr>
              <w:ind w:left="80"/>
              <w:spacing w:after="0"/>
              <w:rPr>
                <w:sz w:val="20"/>
                <w:szCs w:val="20"/>
                <w:color w:val="auto"/>
              </w:rPr>
            </w:pPr>
            <w:r>
              <w:rPr>
                <w:rFonts w:ascii="Arial" w:cs="Arial" w:eastAsia="Arial" w:hAnsi="Arial"/>
                <w:sz w:val="20"/>
                <w:szCs w:val="20"/>
                <w:color w:val="0000FF"/>
              </w:rPr>
              <w:t>Warrants (Right to Buy)</w:t>
            </w:r>
          </w:p>
        </w:tc>
        <w:tc>
          <w:tcPr>
            <w:tcW w:w="1140" w:type="dxa"/>
            <w:vAlign w:val="bottom"/>
          </w:tcPr>
          <w:p>
            <w:pPr>
              <w:jc w:val="center"/>
              <w:ind w:left="150"/>
              <w:spacing w:after="0"/>
              <w:rPr>
                <w:sz w:val="20"/>
                <w:szCs w:val="20"/>
                <w:color w:val="auto"/>
              </w:rPr>
            </w:pPr>
            <w:r>
              <w:rPr>
                <w:rFonts w:ascii="Arial" w:cs="Arial" w:eastAsia="Arial" w:hAnsi="Arial"/>
                <w:sz w:val="15"/>
                <w:szCs w:val="15"/>
                <w:color w:val="0000FF"/>
                <w:w w:val="90"/>
              </w:rPr>
              <w:t>02/22/2019</w:t>
            </w:r>
          </w:p>
        </w:tc>
        <w:tc>
          <w:tcPr>
            <w:tcW w:w="1020" w:type="dxa"/>
            <w:vAlign w:val="bottom"/>
          </w:tcPr>
          <w:p>
            <w:pPr>
              <w:jc w:val="center"/>
              <w:spacing w:after="0"/>
              <w:rPr>
                <w:sz w:val="20"/>
                <w:szCs w:val="20"/>
                <w:color w:val="auto"/>
              </w:rPr>
            </w:pPr>
            <w:r>
              <w:rPr>
                <w:rFonts w:ascii="Arial" w:cs="Arial" w:eastAsia="Arial" w:hAnsi="Arial"/>
                <w:sz w:val="13"/>
                <w:szCs w:val="13"/>
                <w:color w:val="008000"/>
              </w:rPr>
              <w:t>(9)</w:t>
            </w:r>
          </w:p>
        </w:tc>
        <w:tc>
          <w:tcPr>
            <w:tcW w:w="1580" w:type="dxa"/>
            <w:vAlign w:val="bottom"/>
          </w:tcPr>
          <w:p>
            <w:pPr>
              <w:ind w:left="180"/>
              <w:spacing w:after="0"/>
              <w:rPr>
                <w:sz w:val="20"/>
                <w:szCs w:val="20"/>
                <w:color w:val="auto"/>
              </w:rPr>
            </w:pPr>
            <w:r>
              <w:rPr>
                <w:rFonts w:ascii="Arial" w:cs="Arial" w:eastAsia="Arial" w:hAnsi="Arial"/>
                <w:sz w:val="20"/>
                <w:szCs w:val="20"/>
                <w:color w:val="0000FF"/>
              </w:rPr>
              <w:t>Common Stock</w:t>
            </w:r>
          </w:p>
        </w:tc>
        <w:tc>
          <w:tcPr>
            <w:tcW w:w="1120" w:type="dxa"/>
            <w:vAlign w:val="bottom"/>
          </w:tcPr>
          <w:p>
            <w:pPr>
              <w:jc w:val="center"/>
              <w:spacing w:after="0" w:line="240" w:lineRule="exact"/>
              <w:rPr>
                <w:sz w:val="20"/>
                <w:szCs w:val="20"/>
                <w:color w:val="auto"/>
              </w:rPr>
            </w:pPr>
            <w:r>
              <w:rPr>
                <w:rFonts w:ascii="Arial" w:cs="Arial" w:eastAsia="Arial" w:hAnsi="Arial"/>
                <w:sz w:val="20"/>
                <w:szCs w:val="20"/>
                <w:color w:val="0000FF"/>
                <w:w w:val="82"/>
              </w:rPr>
              <w:t>8,051</w:t>
            </w:r>
            <w:r>
              <w:rPr>
                <w:rFonts w:ascii="Arial" w:cs="Arial" w:eastAsia="Arial" w:hAnsi="Arial"/>
                <w:sz w:val="25"/>
                <w:szCs w:val="25"/>
                <w:color w:val="008000"/>
                <w:w w:val="82"/>
                <w:vertAlign w:val="superscript"/>
              </w:rPr>
              <w:t>(2)</w:t>
            </w:r>
          </w:p>
        </w:tc>
        <w:tc>
          <w:tcPr>
            <w:tcW w:w="980" w:type="dxa"/>
            <w:vAlign w:val="bottom"/>
          </w:tcPr>
          <w:p>
            <w:pPr>
              <w:jc w:val="center"/>
              <w:ind w:right="76"/>
              <w:spacing w:after="0" w:line="240" w:lineRule="exact"/>
              <w:rPr>
                <w:sz w:val="20"/>
                <w:szCs w:val="20"/>
                <w:color w:val="auto"/>
              </w:rPr>
            </w:pPr>
            <w:r>
              <w:rPr>
                <w:rFonts w:ascii="Arial" w:cs="Arial" w:eastAsia="Arial" w:hAnsi="Arial"/>
                <w:sz w:val="20"/>
                <w:szCs w:val="20"/>
                <w:color w:val="0000FF"/>
                <w:w w:val="84"/>
              </w:rPr>
              <w:t>5.28</w:t>
            </w:r>
            <w:r>
              <w:rPr>
                <w:rFonts w:ascii="Arial" w:cs="Arial" w:eastAsia="Arial" w:hAnsi="Arial"/>
                <w:sz w:val="25"/>
                <w:szCs w:val="25"/>
                <w:color w:val="008000"/>
                <w:w w:val="84"/>
                <w:vertAlign w:val="superscript"/>
              </w:rPr>
              <w:t>(8)</w:t>
            </w:r>
          </w:p>
        </w:tc>
        <w:tc>
          <w:tcPr>
            <w:tcW w:w="660" w:type="dxa"/>
            <w:vAlign w:val="bottom"/>
          </w:tcPr>
          <w:p>
            <w:pPr>
              <w:ind w:left="340"/>
              <w:spacing w:after="0"/>
              <w:rPr>
                <w:sz w:val="20"/>
                <w:szCs w:val="20"/>
                <w:color w:val="auto"/>
              </w:rPr>
            </w:pPr>
            <w:r>
              <w:rPr>
                <w:rFonts w:ascii="Arial" w:cs="Arial" w:eastAsia="Arial" w:hAnsi="Arial"/>
                <w:sz w:val="20"/>
                <w:szCs w:val="20"/>
                <w:color w:val="0000FF"/>
              </w:rPr>
              <w:t>I</w:t>
            </w:r>
          </w:p>
        </w:tc>
        <w:tc>
          <w:tcPr>
            <w:tcW w:w="1600" w:type="dxa"/>
            <w:vAlign w:val="bottom"/>
          </w:tcPr>
          <w:p>
            <w:pPr>
              <w:ind w:left="260"/>
              <w:spacing w:after="0"/>
              <w:rPr>
                <w:sz w:val="20"/>
                <w:szCs w:val="20"/>
                <w:color w:val="auto"/>
              </w:rPr>
            </w:pPr>
            <w:r>
              <w:rPr>
                <w:rFonts w:ascii="Arial" w:cs="Arial" w:eastAsia="Arial" w:hAnsi="Arial"/>
                <w:sz w:val="20"/>
                <w:szCs w:val="20"/>
                <w:color w:val="0000FF"/>
              </w:rPr>
              <w:t>Bios Fund II,</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2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260"/>
              <w:spacing w:after="0" w:line="309" w:lineRule="exact"/>
              <w:rPr>
                <w:sz w:val="20"/>
                <w:szCs w:val="20"/>
                <w:color w:val="auto"/>
              </w:rPr>
            </w:pPr>
            <w:r>
              <w:rPr>
                <w:rFonts w:ascii="Arial" w:cs="Arial" w:eastAsia="Arial" w:hAnsi="Arial"/>
                <w:sz w:val="35"/>
                <w:szCs w:val="35"/>
                <w:color w:val="0000FF"/>
                <w:vertAlign w:val="subscript"/>
              </w:rPr>
              <w:t>LP</w:t>
            </w:r>
            <w:r>
              <w:rPr>
                <w:rFonts w:ascii="Arial" w:cs="Arial" w:eastAsia="Arial" w:hAnsi="Arial"/>
                <w:sz w:val="12"/>
                <w:szCs w:val="12"/>
                <w:color w:val="008000"/>
              </w:rPr>
              <w:t>(3)(4)</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Arial" w:cs="Arial" w:eastAsia="Arial" w:hAnsi="Arial"/>
                <w:sz w:val="20"/>
                <w:szCs w:val="20"/>
                <w:color w:val="0000FF"/>
                <w:w w:val="96"/>
              </w:rPr>
              <w:t>Directly held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00" w:type="dxa"/>
            <w:vAlign w:val="bottom"/>
          </w:tcPr>
          <w:p>
            <w:pPr>
              <w:ind w:left="80"/>
              <w:spacing w:after="0"/>
              <w:rPr>
                <w:sz w:val="20"/>
                <w:szCs w:val="20"/>
                <w:color w:val="auto"/>
              </w:rPr>
            </w:pPr>
            <w:r>
              <w:rPr>
                <w:rFonts w:ascii="Arial" w:cs="Arial" w:eastAsia="Arial" w:hAnsi="Arial"/>
                <w:sz w:val="20"/>
                <w:szCs w:val="20"/>
                <w:color w:val="0000FF"/>
              </w:rPr>
              <w:t>Warrants (Right to Buy)</w:t>
            </w:r>
          </w:p>
        </w:tc>
        <w:tc>
          <w:tcPr>
            <w:tcW w:w="1140" w:type="dxa"/>
            <w:vAlign w:val="bottom"/>
          </w:tcPr>
          <w:p>
            <w:pPr>
              <w:jc w:val="center"/>
              <w:ind w:left="150"/>
              <w:spacing w:after="0"/>
              <w:rPr>
                <w:sz w:val="20"/>
                <w:szCs w:val="20"/>
                <w:color w:val="auto"/>
              </w:rPr>
            </w:pPr>
            <w:r>
              <w:rPr>
                <w:rFonts w:ascii="Arial" w:cs="Arial" w:eastAsia="Arial" w:hAnsi="Arial"/>
                <w:sz w:val="15"/>
                <w:szCs w:val="15"/>
                <w:color w:val="0000FF"/>
                <w:w w:val="90"/>
              </w:rPr>
              <w:t>02/22/2019</w:t>
            </w:r>
          </w:p>
        </w:tc>
        <w:tc>
          <w:tcPr>
            <w:tcW w:w="1020" w:type="dxa"/>
            <w:vAlign w:val="bottom"/>
          </w:tcPr>
          <w:p>
            <w:pPr>
              <w:jc w:val="center"/>
              <w:spacing w:after="0"/>
              <w:rPr>
                <w:sz w:val="20"/>
                <w:szCs w:val="20"/>
                <w:color w:val="auto"/>
              </w:rPr>
            </w:pPr>
            <w:r>
              <w:rPr>
                <w:rFonts w:ascii="Arial" w:cs="Arial" w:eastAsia="Arial" w:hAnsi="Arial"/>
                <w:sz w:val="13"/>
                <w:szCs w:val="13"/>
                <w:color w:val="008000"/>
              </w:rPr>
              <w:t>(9)</w:t>
            </w:r>
          </w:p>
        </w:tc>
        <w:tc>
          <w:tcPr>
            <w:tcW w:w="1580" w:type="dxa"/>
            <w:vAlign w:val="bottom"/>
          </w:tcPr>
          <w:p>
            <w:pPr>
              <w:ind w:left="180"/>
              <w:spacing w:after="0"/>
              <w:rPr>
                <w:sz w:val="20"/>
                <w:szCs w:val="20"/>
                <w:color w:val="auto"/>
              </w:rPr>
            </w:pPr>
            <w:r>
              <w:rPr>
                <w:rFonts w:ascii="Arial" w:cs="Arial" w:eastAsia="Arial" w:hAnsi="Arial"/>
                <w:sz w:val="20"/>
                <w:szCs w:val="20"/>
                <w:color w:val="0000FF"/>
              </w:rPr>
              <w:t>Common Stock</w:t>
            </w:r>
          </w:p>
        </w:tc>
        <w:tc>
          <w:tcPr>
            <w:tcW w:w="1120" w:type="dxa"/>
            <w:vAlign w:val="bottom"/>
          </w:tcPr>
          <w:p>
            <w:pPr>
              <w:jc w:val="center"/>
              <w:spacing w:after="0" w:line="240" w:lineRule="exact"/>
              <w:rPr>
                <w:sz w:val="20"/>
                <w:szCs w:val="20"/>
                <w:color w:val="auto"/>
              </w:rPr>
            </w:pPr>
            <w:r>
              <w:rPr>
                <w:rFonts w:ascii="Arial" w:cs="Arial" w:eastAsia="Arial" w:hAnsi="Arial"/>
                <w:sz w:val="20"/>
                <w:szCs w:val="20"/>
                <w:color w:val="0000FF"/>
                <w:w w:val="82"/>
              </w:rPr>
              <w:t>3,521</w:t>
            </w:r>
            <w:r>
              <w:rPr>
                <w:rFonts w:ascii="Arial" w:cs="Arial" w:eastAsia="Arial" w:hAnsi="Arial"/>
                <w:sz w:val="25"/>
                <w:szCs w:val="25"/>
                <w:color w:val="008000"/>
                <w:w w:val="82"/>
                <w:vertAlign w:val="superscript"/>
              </w:rPr>
              <w:t>(2)</w:t>
            </w:r>
          </w:p>
        </w:tc>
        <w:tc>
          <w:tcPr>
            <w:tcW w:w="980" w:type="dxa"/>
            <w:vAlign w:val="bottom"/>
          </w:tcPr>
          <w:p>
            <w:pPr>
              <w:jc w:val="center"/>
              <w:ind w:right="76"/>
              <w:spacing w:after="0" w:line="240" w:lineRule="exact"/>
              <w:rPr>
                <w:sz w:val="20"/>
                <w:szCs w:val="20"/>
                <w:color w:val="auto"/>
              </w:rPr>
            </w:pPr>
            <w:r>
              <w:rPr>
                <w:rFonts w:ascii="Arial" w:cs="Arial" w:eastAsia="Arial" w:hAnsi="Arial"/>
                <w:sz w:val="20"/>
                <w:szCs w:val="20"/>
                <w:color w:val="0000FF"/>
                <w:w w:val="84"/>
              </w:rPr>
              <w:t>5.28</w:t>
            </w:r>
            <w:r>
              <w:rPr>
                <w:rFonts w:ascii="Arial" w:cs="Arial" w:eastAsia="Arial" w:hAnsi="Arial"/>
                <w:sz w:val="25"/>
                <w:szCs w:val="25"/>
                <w:color w:val="008000"/>
                <w:w w:val="84"/>
                <w:vertAlign w:val="superscript"/>
              </w:rPr>
              <w:t>(8)</w:t>
            </w:r>
          </w:p>
        </w:tc>
        <w:tc>
          <w:tcPr>
            <w:tcW w:w="660" w:type="dxa"/>
            <w:vAlign w:val="bottom"/>
          </w:tcPr>
          <w:p>
            <w:pPr>
              <w:ind w:left="340"/>
              <w:spacing w:after="0"/>
              <w:rPr>
                <w:sz w:val="20"/>
                <w:szCs w:val="20"/>
                <w:color w:val="auto"/>
              </w:rPr>
            </w:pPr>
            <w:r>
              <w:rPr>
                <w:rFonts w:ascii="Arial" w:cs="Arial" w:eastAsia="Arial" w:hAnsi="Arial"/>
                <w:sz w:val="20"/>
                <w:szCs w:val="20"/>
                <w:color w:val="0000FF"/>
              </w:rPr>
              <w:t>I</w:t>
            </w:r>
          </w:p>
        </w:tc>
        <w:tc>
          <w:tcPr>
            <w:tcW w:w="1600" w:type="dxa"/>
            <w:vAlign w:val="bottom"/>
          </w:tcPr>
          <w:p>
            <w:pPr>
              <w:ind w:left="260"/>
              <w:spacing w:after="0"/>
              <w:rPr>
                <w:sz w:val="20"/>
                <w:szCs w:val="20"/>
                <w:color w:val="auto"/>
              </w:rPr>
            </w:pPr>
            <w:r>
              <w:rPr>
                <w:rFonts w:ascii="Arial" w:cs="Arial" w:eastAsia="Arial" w:hAnsi="Arial"/>
                <w:sz w:val="20"/>
                <w:szCs w:val="20"/>
                <w:color w:val="0000FF"/>
              </w:rPr>
              <w:t>Bios Fund II</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2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260"/>
              <w:spacing w:after="0" w:line="309" w:lineRule="exact"/>
              <w:rPr>
                <w:sz w:val="20"/>
                <w:szCs w:val="20"/>
                <w:color w:val="auto"/>
              </w:rPr>
            </w:pPr>
            <w:r>
              <w:rPr>
                <w:rFonts w:ascii="Arial" w:cs="Arial" w:eastAsia="Arial" w:hAnsi="Arial"/>
                <w:sz w:val="35"/>
                <w:szCs w:val="35"/>
                <w:color w:val="0000FF"/>
                <w:vertAlign w:val="subscript"/>
              </w:rPr>
              <w:t>NT, LP</w:t>
            </w:r>
            <w:r>
              <w:rPr>
                <w:rFonts w:ascii="Arial" w:cs="Arial" w:eastAsia="Arial" w:hAnsi="Arial"/>
                <w:sz w:val="12"/>
                <w:szCs w:val="12"/>
                <w:color w:val="008000"/>
              </w:rPr>
              <w:t>(3)(4)</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Arial" w:cs="Arial" w:eastAsia="Arial" w:hAnsi="Arial"/>
                <w:sz w:val="20"/>
                <w:szCs w:val="20"/>
                <w:color w:val="0000FF"/>
                <w:w w:val="96"/>
              </w:rPr>
              <w:t>Directly held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00" w:type="dxa"/>
            <w:vAlign w:val="bottom"/>
          </w:tcPr>
          <w:p>
            <w:pPr>
              <w:ind w:left="80"/>
              <w:spacing w:after="0"/>
              <w:rPr>
                <w:sz w:val="20"/>
                <w:szCs w:val="20"/>
                <w:color w:val="auto"/>
              </w:rPr>
            </w:pPr>
            <w:r>
              <w:rPr>
                <w:rFonts w:ascii="Arial" w:cs="Arial" w:eastAsia="Arial" w:hAnsi="Arial"/>
                <w:sz w:val="20"/>
                <w:szCs w:val="20"/>
                <w:color w:val="0000FF"/>
              </w:rPr>
              <w:t>Warrants (Right to Buy)</w:t>
            </w:r>
          </w:p>
        </w:tc>
        <w:tc>
          <w:tcPr>
            <w:tcW w:w="1140" w:type="dxa"/>
            <w:vAlign w:val="bottom"/>
          </w:tcPr>
          <w:p>
            <w:pPr>
              <w:jc w:val="center"/>
              <w:ind w:left="150"/>
              <w:spacing w:after="0"/>
              <w:rPr>
                <w:sz w:val="20"/>
                <w:szCs w:val="20"/>
                <w:color w:val="auto"/>
              </w:rPr>
            </w:pPr>
            <w:r>
              <w:rPr>
                <w:rFonts w:ascii="Arial" w:cs="Arial" w:eastAsia="Arial" w:hAnsi="Arial"/>
                <w:sz w:val="15"/>
                <w:szCs w:val="15"/>
                <w:color w:val="0000FF"/>
                <w:w w:val="90"/>
              </w:rPr>
              <w:t>02/22/2019</w:t>
            </w:r>
          </w:p>
        </w:tc>
        <w:tc>
          <w:tcPr>
            <w:tcW w:w="1020" w:type="dxa"/>
            <w:vAlign w:val="bottom"/>
          </w:tcPr>
          <w:p>
            <w:pPr>
              <w:jc w:val="center"/>
              <w:spacing w:after="0"/>
              <w:rPr>
                <w:sz w:val="20"/>
                <w:szCs w:val="20"/>
                <w:color w:val="auto"/>
              </w:rPr>
            </w:pPr>
            <w:r>
              <w:rPr>
                <w:rFonts w:ascii="Arial" w:cs="Arial" w:eastAsia="Arial" w:hAnsi="Arial"/>
                <w:sz w:val="13"/>
                <w:szCs w:val="13"/>
                <w:color w:val="008000"/>
              </w:rPr>
              <w:t>(9)</w:t>
            </w:r>
          </w:p>
        </w:tc>
        <w:tc>
          <w:tcPr>
            <w:tcW w:w="1580" w:type="dxa"/>
            <w:vAlign w:val="bottom"/>
          </w:tcPr>
          <w:p>
            <w:pPr>
              <w:ind w:left="180"/>
              <w:spacing w:after="0"/>
              <w:rPr>
                <w:sz w:val="20"/>
                <w:szCs w:val="20"/>
                <w:color w:val="auto"/>
              </w:rPr>
            </w:pPr>
            <w:r>
              <w:rPr>
                <w:rFonts w:ascii="Arial" w:cs="Arial" w:eastAsia="Arial" w:hAnsi="Arial"/>
                <w:sz w:val="20"/>
                <w:szCs w:val="20"/>
                <w:color w:val="0000FF"/>
              </w:rPr>
              <w:t>Common Stock</w:t>
            </w:r>
          </w:p>
        </w:tc>
        <w:tc>
          <w:tcPr>
            <w:tcW w:w="1120" w:type="dxa"/>
            <w:vAlign w:val="bottom"/>
          </w:tcPr>
          <w:p>
            <w:pPr>
              <w:jc w:val="center"/>
              <w:spacing w:after="0" w:line="240" w:lineRule="exact"/>
              <w:rPr>
                <w:sz w:val="20"/>
                <w:szCs w:val="20"/>
                <w:color w:val="auto"/>
              </w:rPr>
            </w:pPr>
            <w:r>
              <w:rPr>
                <w:rFonts w:ascii="Arial" w:cs="Arial" w:eastAsia="Arial" w:hAnsi="Arial"/>
                <w:sz w:val="20"/>
                <w:szCs w:val="20"/>
                <w:color w:val="0000FF"/>
                <w:w w:val="83"/>
              </w:rPr>
              <w:t>26,298</w:t>
            </w:r>
            <w:r>
              <w:rPr>
                <w:rFonts w:ascii="Arial" w:cs="Arial" w:eastAsia="Arial" w:hAnsi="Arial"/>
                <w:sz w:val="25"/>
                <w:szCs w:val="25"/>
                <w:color w:val="008000"/>
                <w:w w:val="83"/>
                <w:vertAlign w:val="superscript"/>
              </w:rPr>
              <w:t>(2)</w:t>
            </w:r>
          </w:p>
        </w:tc>
        <w:tc>
          <w:tcPr>
            <w:tcW w:w="980" w:type="dxa"/>
            <w:vAlign w:val="bottom"/>
          </w:tcPr>
          <w:p>
            <w:pPr>
              <w:jc w:val="center"/>
              <w:ind w:right="76"/>
              <w:spacing w:after="0" w:line="240" w:lineRule="exact"/>
              <w:rPr>
                <w:sz w:val="20"/>
                <w:szCs w:val="20"/>
                <w:color w:val="auto"/>
              </w:rPr>
            </w:pPr>
            <w:r>
              <w:rPr>
                <w:rFonts w:ascii="Arial" w:cs="Arial" w:eastAsia="Arial" w:hAnsi="Arial"/>
                <w:sz w:val="20"/>
                <w:szCs w:val="20"/>
                <w:color w:val="0000FF"/>
                <w:w w:val="84"/>
              </w:rPr>
              <w:t>5.28</w:t>
            </w:r>
            <w:r>
              <w:rPr>
                <w:rFonts w:ascii="Arial" w:cs="Arial" w:eastAsia="Arial" w:hAnsi="Arial"/>
                <w:sz w:val="25"/>
                <w:szCs w:val="25"/>
                <w:color w:val="008000"/>
                <w:w w:val="84"/>
                <w:vertAlign w:val="superscript"/>
              </w:rPr>
              <w:t>(8)</w:t>
            </w:r>
          </w:p>
        </w:tc>
        <w:tc>
          <w:tcPr>
            <w:tcW w:w="660" w:type="dxa"/>
            <w:vAlign w:val="bottom"/>
          </w:tcPr>
          <w:p>
            <w:pPr>
              <w:ind w:left="340"/>
              <w:spacing w:after="0"/>
              <w:rPr>
                <w:sz w:val="20"/>
                <w:szCs w:val="20"/>
                <w:color w:val="auto"/>
              </w:rPr>
            </w:pPr>
            <w:r>
              <w:rPr>
                <w:rFonts w:ascii="Arial" w:cs="Arial" w:eastAsia="Arial" w:hAnsi="Arial"/>
                <w:sz w:val="20"/>
                <w:szCs w:val="20"/>
                <w:color w:val="0000FF"/>
              </w:rPr>
              <w:t>I</w:t>
            </w:r>
          </w:p>
        </w:tc>
        <w:tc>
          <w:tcPr>
            <w:tcW w:w="1600" w:type="dxa"/>
            <w:vAlign w:val="bottom"/>
          </w:tcPr>
          <w:p>
            <w:pPr>
              <w:ind w:left="260"/>
              <w:spacing w:after="0"/>
              <w:rPr>
                <w:sz w:val="20"/>
                <w:szCs w:val="20"/>
                <w:color w:val="auto"/>
              </w:rPr>
            </w:pPr>
            <w:r>
              <w:rPr>
                <w:rFonts w:ascii="Arial" w:cs="Arial" w:eastAsia="Arial" w:hAnsi="Arial"/>
                <w:sz w:val="20"/>
                <w:szCs w:val="20"/>
                <w:color w:val="0000FF"/>
              </w:rPr>
              <w:t>Bios Fund II</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2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260"/>
              <w:spacing w:after="0" w:line="309" w:lineRule="exact"/>
              <w:rPr>
                <w:sz w:val="20"/>
                <w:szCs w:val="20"/>
                <w:color w:val="auto"/>
              </w:rPr>
            </w:pPr>
            <w:r>
              <w:rPr>
                <w:rFonts w:ascii="Arial" w:cs="Arial" w:eastAsia="Arial" w:hAnsi="Arial"/>
                <w:sz w:val="35"/>
                <w:szCs w:val="35"/>
                <w:color w:val="0000FF"/>
                <w:vertAlign w:val="subscript"/>
              </w:rPr>
              <w:t>QP, LP</w:t>
            </w:r>
            <w:r>
              <w:rPr>
                <w:rFonts w:ascii="Arial" w:cs="Arial" w:eastAsia="Arial" w:hAnsi="Arial"/>
                <w:sz w:val="12"/>
                <w:szCs w:val="12"/>
                <w:color w:val="008000"/>
              </w:rPr>
              <w:t>(3)(4)</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Arial" w:cs="Arial" w:eastAsia="Arial" w:hAnsi="Arial"/>
                <w:sz w:val="20"/>
                <w:szCs w:val="20"/>
                <w:color w:val="0000FF"/>
                <w:w w:val="96"/>
              </w:rPr>
              <w:t>Directly held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00" w:type="dxa"/>
            <w:vAlign w:val="bottom"/>
          </w:tcPr>
          <w:p>
            <w:pPr>
              <w:ind w:left="80"/>
              <w:spacing w:after="0"/>
              <w:rPr>
                <w:sz w:val="20"/>
                <w:szCs w:val="20"/>
                <w:color w:val="auto"/>
              </w:rPr>
            </w:pPr>
            <w:r>
              <w:rPr>
                <w:rFonts w:ascii="Arial" w:cs="Arial" w:eastAsia="Arial" w:hAnsi="Arial"/>
                <w:sz w:val="20"/>
                <w:szCs w:val="20"/>
                <w:color w:val="0000FF"/>
              </w:rPr>
              <w:t>Warrants (Right to Buy)</w:t>
            </w:r>
          </w:p>
        </w:tc>
        <w:tc>
          <w:tcPr>
            <w:tcW w:w="1140" w:type="dxa"/>
            <w:vAlign w:val="bottom"/>
          </w:tcPr>
          <w:p>
            <w:pPr>
              <w:jc w:val="center"/>
              <w:ind w:left="150"/>
              <w:spacing w:after="0"/>
              <w:rPr>
                <w:sz w:val="20"/>
                <w:szCs w:val="20"/>
                <w:color w:val="auto"/>
              </w:rPr>
            </w:pPr>
            <w:r>
              <w:rPr>
                <w:rFonts w:ascii="Arial" w:cs="Arial" w:eastAsia="Arial" w:hAnsi="Arial"/>
                <w:sz w:val="15"/>
                <w:szCs w:val="15"/>
                <w:color w:val="0000FF"/>
                <w:w w:val="90"/>
              </w:rPr>
              <w:t>03/29/2019</w:t>
            </w:r>
          </w:p>
        </w:tc>
        <w:tc>
          <w:tcPr>
            <w:tcW w:w="1020" w:type="dxa"/>
            <w:vAlign w:val="bottom"/>
          </w:tcPr>
          <w:p>
            <w:pPr>
              <w:jc w:val="center"/>
              <w:spacing w:after="0"/>
              <w:rPr>
                <w:sz w:val="20"/>
                <w:szCs w:val="20"/>
                <w:color w:val="auto"/>
              </w:rPr>
            </w:pPr>
            <w:r>
              <w:rPr>
                <w:rFonts w:ascii="Arial" w:cs="Arial" w:eastAsia="Arial" w:hAnsi="Arial"/>
                <w:sz w:val="13"/>
                <w:szCs w:val="13"/>
                <w:color w:val="008000"/>
              </w:rPr>
              <w:t>(9)</w:t>
            </w:r>
          </w:p>
        </w:tc>
        <w:tc>
          <w:tcPr>
            <w:tcW w:w="1580" w:type="dxa"/>
            <w:vAlign w:val="bottom"/>
          </w:tcPr>
          <w:p>
            <w:pPr>
              <w:ind w:left="180"/>
              <w:spacing w:after="0"/>
              <w:rPr>
                <w:sz w:val="20"/>
                <w:szCs w:val="20"/>
                <w:color w:val="auto"/>
              </w:rPr>
            </w:pPr>
            <w:r>
              <w:rPr>
                <w:rFonts w:ascii="Arial" w:cs="Arial" w:eastAsia="Arial" w:hAnsi="Arial"/>
                <w:sz w:val="20"/>
                <w:szCs w:val="20"/>
                <w:color w:val="0000FF"/>
              </w:rPr>
              <w:t>Common Stock</w:t>
            </w:r>
          </w:p>
        </w:tc>
        <w:tc>
          <w:tcPr>
            <w:tcW w:w="1120" w:type="dxa"/>
            <w:vAlign w:val="bottom"/>
          </w:tcPr>
          <w:p>
            <w:pPr>
              <w:jc w:val="center"/>
              <w:spacing w:after="0" w:line="240" w:lineRule="exact"/>
              <w:rPr>
                <w:sz w:val="20"/>
                <w:szCs w:val="20"/>
                <w:color w:val="auto"/>
              </w:rPr>
            </w:pPr>
            <w:r>
              <w:rPr>
                <w:rFonts w:ascii="Arial" w:cs="Arial" w:eastAsia="Arial" w:hAnsi="Arial"/>
                <w:sz w:val="20"/>
                <w:szCs w:val="20"/>
                <w:color w:val="0000FF"/>
                <w:w w:val="83"/>
              </w:rPr>
              <w:t>10,664</w:t>
            </w:r>
            <w:r>
              <w:rPr>
                <w:rFonts w:ascii="Arial" w:cs="Arial" w:eastAsia="Arial" w:hAnsi="Arial"/>
                <w:sz w:val="25"/>
                <w:szCs w:val="25"/>
                <w:color w:val="008000"/>
                <w:w w:val="83"/>
                <w:vertAlign w:val="superscript"/>
              </w:rPr>
              <w:t>(2)</w:t>
            </w:r>
          </w:p>
        </w:tc>
        <w:tc>
          <w:tcPr>
            <w:tcW w:w="980" w:type="dxa"/>
            <w:vAlign w:val="bottom"/>
          </w:tcPr>
          <w:p>
            <w:pPr>
              <w:jc w:val="center"/>
              <w:ind w:right="76"/>
              <w:spacing w:after="0" w:line="240" w:lineRule="exact"/>
              <w:rPr>
                <w:sz w:val="20"/>
                <w:szCs w:val="20"/>
                <w:color w:val="auto"/>
              </w:rPr>
            </w:pPr>
            <w:r>
              <w:rPr>
                <w:rFonts w:ascii="Arial" w:cs="Arial" w:eastAsia="Arial" w:hAnsi="Arial"/>
                <w:sz w:val="20"/>
                <w:szCs w:val="20"/>
                <w:color w:val="0000FF"/>
                <w:w w:val="84"/>
              </w:rPr>
              <w:t>5.28</w:t>
            </w:r>
            <w:r>
              <w:rPr>
                <w:rFonts w:ascii="Arial" w:cs="Arial" w:eastAsia="Arial" w:hAnsi="Arial"/>
                <w:sz w:val="25"/>
                <w:szCs w:val="25"/>
                <w:color w:val="008000"/>
                <w:w w:val="84"/>
                <w:vertAlign w:val="superscript"/>
              </w:rPr>
              <w:t>(8)</w:t>
            </w:r>
          </w:p>
        </w:tc>
        <w:tc>
          <w:tcPr>
            <w:tcW w:w="660" w:type="dxa"/>
            <w:vAlign w:val="bottom"/>
          </w:tcPr>
          <w:p>
            <w:pPr>
              <w:ind w:left="340"/>
              <w:spacing w:after="0"/>
              <w:rPr>
                <w:sz w:val="20"/>
                <w:szCs w:val="20"/>
                <w:color w:val="auto"/>
              </w:rPr>
            </w:pPr>
            <w:r>
              <w:rPr>
                <w:rFonts w:ascii="Arial" w:cs="Arial" w:eastAsia="Arial" w:hAnsi="Arial"/>
                <w:sz w:val="20"/>
                <w:szCs w:val="20"/>
                <w:color w:val="0000FF"/>
              </w:rPr>
              <w:t>I</w:t>
            </w:r>
          </w:p>
        </w:tc>
        <w:tc>
          <w:tcPr>
            <w:tcW w:w="1600" w:type="dxa"/>
            <w:vAlign w:val="bottom"/>
          </w:tcPr>
          <w:p>
            <w:pPr>
              <w:ind w:left="260"/>
              <w:spacing w:after="0"/>
              <w:rPr>
                <w:sz w:val="20"/>
                <w:szCs w:val="20"/>
                <w:color w:val="auto"/>
              </w:rPr>
            </w:pPr>
            <w:r>
              <w:rPr>
                <w:rFonts w:ascii="Arial" w:cs="Arial" w:eastAsia="Arial" w:hAnsi="Arial"/>
                <w:sz w:val="20"/>
                <w:szCs w:val="20"/>
                <w:color w:val="0000FF"/>
              </w:rPr>
              <w:t>Bios Fund II,</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2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260"/>
              <w:spacing w:after="0" w:line="309" w:lineRule="exact"/>
              <w:rPr>
                <w:sz w:val="20"/>
                <w:szCs w:val="20"/>
                <w:color w:val="auto"/>
              </w:rPr>
            </w:pPr>
            <w:r>
              <w:rPr>
                <w:rFonts w:ascii="Arial" w:cs="Arial" w:eastAsia="Arial" w:hAnsi="Arial"/>
                <w:sz w:val="35"/>
                <w:szCs w:val="35"/>
                <w:color w:val="0000FF"/>
                <w:vertAlign w:val="subscript"/>
              </w:rPr>
              <w:t>LP</w:t>
            </w:r>
            <w:r>
              <w:rPr>
                <w:rFonts w:ascii="Arial" w:cs="Arial" w:eastAsia="Arial" w:hAnsi="Arial"/>
                <w:sz w:val="12"/>
                <w:szCs w:val="12"/>
                <w:color w:val="008000"/>
              </w:rPr>
              <w:t>(3)(4)</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Arial" w:cs="Arial" w:eastAsia="Arial" w:hAnsi="Arial"/>
                <w:sz w:val="20"/>
                <w:szCs w:val="20"/>
                <w:color w:val="0000FF"/>
                <w:w w:val="96"/>
              </w:rPr>
              <w:t>Directly held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00" w:type="dxa"/>
            <w:vAlign w:val="bottom"/>
          </w:tcPr>
          <w:p>
            <w:pPr>
              <w:ind w:left="80"/>
              <w:spacing w:after="0"/>
              <w:rPr>
                <w:sz w:val="20"/>
                <w:szCs w:val="20"/>
                <w:color w:val="auto"/>
              </w:rPr>
            </w:pPr>
            <w:r>
              <w:rPr>
                <w:rFonts w:ascii="Arial" w:cs="Arial" w:eastAsia="Arial" w:hAnsi="Arial"/>
                <w:sz w:val="20"/>
                <w:szCs w:val="20"/>
                <w:color w:val="0000FF"/>
              </w:rPr>
              <w:t>Warrants (Right to Buy)</w:t>
            </w:r>
          </w:p>
        </w:tc>
        <w:tc>
          <w:tcPr>
            <w:tcW w:w="1140" w:type="dxa"/>
            <w:vAlign w:val="bottom"/>
          </w:tcPr>
          <w:p>
            <w:pPr>
              <w:jc w:val="center"/>
              <w:ind w:left="150"/>
              <w:spacing w:after="0"/>
              <w:rPr>
                <w:sz w:val="20"/>
                <w:szCs w:val="20"/>
                <w:color w:val="auto"/>
              </w:rPr>
            </w:pPr>
            <w:r>
              <w:rPr>
                <w:rFonts w:ascii="Arial" w:cs="Arial" w:eastAsia="Arial" w:hAnsi="Arial"/>
                <w:sz w:val="15"/>
                <w:szCs w:val="15"/>
                <w:color w:val="0000FF"/>
                <w:w w:val="90"/>
              </w:rPr>
              <w:t>03/29/2019</w:t>
            </w:r>
          </w:p>
        </w:tc>
        <w:tc>
          <w:tcPr>
            <w:tcW w:w="1020" w:type="dxa"/>
            <w:vAlign w:val="bottom"/>
          </w:tcPr>
          <w:p>
            <w:pPr>
              <w:jc w:val="center"/>
              <w:spacing w:after="0"/>
              <w:rPr>
                <w:sz w:val="20"/>
                <w:szCs w:val="20"/>
                <w:color w:val="auto"/>
              </w:rPr>
            </w:pPr>
            <w:r>
              <w:rPr>
                <w:rFonts w:ascii="Arial" w:cs="Arial" w:eastAsia="Arial" w:hAnsi="Arial"/>
                <w:sz w:val="13"/>
                <w:szCs w:val="13"/>
                <w:color w:val="008000"/>
              </w:rPr>
              <w:t>(9)</w:t>
            </w:r>
          </w:p>
        </w:tc>
        <w:tc>
          <w:tcPr>
            <w:tcW w:w="1580" w:type="dxa"/>
            <w:vAlign w:val="bottom"/>
          </w:tcPr>
          <w:p>
            <w:pPr>
              <w:ind w:left="180"/>
              <w:spacing w:after="0"/>
              <w:rPr>
                <w:sz w:val="20"/>
                <w:szCs w:val="20"/>
                <w:color w:val="auto"/>
              </w:rPr>
            </w:pPr>
            <w:r>
              <w:rPr>
                <w:rFonts w:ascii="Arial" w:cs="Arial" w:eastAsia="Arial" w:hAnsi="Arial"/>
                <w:sz w:val="20"/>
                <w:szCs w:val="20"/>
                <w:color w:val="0000FF"/>
              </w:rPr>
              <w:t>Common Stock</w:t>
            </w:r>
          </w:p>
        </w:tc>
        <w:tc>
          <w:tcPr>
            <w:tcW w:w="1120" w:type="dxa"/>
            <w:vAlign w:val="bottom"/>
          </w:tcPr>
          <w:p>
            <w:pPr>
              <w:jc w:val="center"/>
              <w:spacing w:after="0" w:line="240" w:lineRule="exact"/>
              <w:rPr>
                <w:sz w:val="20"/>
                <w:szCs w:val="20"/>
                <w:color w:val="auto"/>
              </w:rPr>
            </w:pPr>
            <w:r>
              <w:rPr>
                <w:rFonts w:ascii="Arial" w:cs="Arial" w:eastAsia="Arial" w:hAnsi="Arial"/>
                <w:sz w:val="20"/>
                <w:szCs w:val="20"/>
                <w:color w:val="0000FF"/>
                <w:w w:val="82"/>
              </w:rPr>
              <w:t>4,664</w:t>
            </w:r>
            <w:r>
              <w:rPr>
                <w:rFonts w:ascii="Arial" w:cs="Arial" w:eastAsia="Arial" w:hAnsi="Arial"/>
                <w:sz w:val="25"/>
                <w:szCs w:val="25"/>
                <w:color w:val="008000"/>
                <w:w w:val="82"/>
                <w:vertAlign w:val="superscript"/>
              </w:rPr>
              <w:t>(2)</w:t>
            </w:r>
          </w:p>
        </w:tc>
        <w:tc>
          <w:tcPr>
            <w:tcW w:w="980" w:type="dxa"/>
            <w:vAlign w:val="bottom"/>
          </w:tcPr>
          <w:p>
            <w:pPr>
              <w:jc w:val="center"/>
              <w:ind w:right="76"/>
              <w:spacing w:after="0" w:line="240" w:lineRule="exact"/>
              <w:rPr>
                <w:sz w:val="20"/>
                <w:szCs w:val="20"/>
                <w:color w:val="auto"/>
              </w:rPr>
            </w:pPr>
            <w:r>
              <w:rPr>
                <w:rFonts w:ascii="Arial" w:cs="Arial" w:eastAsia="Arial" w:hAnsi="Arial"/>
                <w:sz w:val="20"/>
                <w:szCs w:val="20"/>
                <w:color w:val="0000FF"/>
                <w:w w:val="84"/>
              </w:rPr>
              <w:t>5.28</w:t>
            </w:r>
            <w:r>
              <w:rPr>
                <w:rFonts w:ascii="Arial" w:cs="Arial" w:eastAsia="Arial" w:hAnsi="Arial"/>
                <w:sz w:val="25"/>
                <w:szCs w:val="25"/>
                <w:color w:val="008000"/>
                <w:w w:val="84"/>
                <w:vertAlign w:val="superscript"/>
              </w:rPr>
              <w:t>(8)</w:t>
            </w:r>
          </w:p>
        </w:tc>
        <w:tc>
          <w:tcPr>
            <w:tcW w:w="660" w:type="dxa"/>
            <w:vAlign w:val="bottom"/>
          </w:tcPr>
          <w:p>
            <w:pPr>
              <w:ind w:left="340"/>
              <w:spacing w:after="0"/>
              <w:rPr>
                <w:sz w:val="20"/>
                <w:szCs w:val="20"/>
                <w:color w:val="auto"/>
              </w:rPr>
            </w:pPr>
            <w:r>
              <w:rPr>
                <w:rFonts w:ascii="Arial" w:cs="Arial" w:eastAsia="Arial" w:hAnsi="Arial"/>
                <w:sz w:val="20"/>
                <w:szCs w:val="20"/>
                <w:color w:val="0000FF"/>
              </w:rPr>
              <w:t>I</w:t>
            </w:r>
          </w:p>
        </w:tc>
        <w:tc>
          <w:tcPr>
            <w:tcW w:w="1600" w:type="dxa"/>
            <w:vAlign w:val="bottom"/>
          </w:tcPr>
          <w:p>
            <w:pPr>
              <w:ind w:left="260"/>
              <w:spacing w:after="0"/>
              <w:rPr>
                <w:sz w:val="20"/>
                <w:szCs w:val="20"/>
                <w:color w:val="auto"/>
              </w:rPr>
            </w:pPr>
            <w:r>
              <w:rPr>
                <w:rFonts w:ascii="Arial" w:cs="Arial" w:eastAsia="Arial" w:hAnsi="Arial"/>
                <w:sz w:val="20"/>
                <w:szCs w:val="20"/>
                <w:color w:val="0000FF"/>
              </w:rPr>
              <w:t>Bios Fund II</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2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260"/>
              <w:spacing w:after="0" w:line="309" w:lineRule="exact"/>
              <w:rPr>
                <w:sz w:val="20"/>
                <w:szCs w:val="20"/>
                <w:color w:val="auto"/>
              </w:rPr>
            </w:pPr>
            <w:r>
              <w:rPr>
                <w:rFonts w:ascii="Arial" w:cs="Arial" w:eastAsia="Arial" w:hAnsi="Arial"/>
                <w:sz w:val="35"/>
                <w:szCs w:val="35"/>
                <w:color w:val="0000FF"/>
                <w:vertAlign w:val="subscript"/>
              </w:rPr>
              <w:t>NT, LP</w:t>
            </w:r>
            <w:r>
              <w:rPr>
                <w:rFonts w:ascii="Arial" w:cs="Arial" w:eastAsia="Arial" w:hAnsi="Arial"/>
                <w:sz w:val="12"/>
                <w:szCs w:val="12"/>
                <w:color w:val="008000"/>
              </w:rPr>
              <w:t>(3)(4)</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Arial" w:cs="Arial" w:eastAsia="Arial" w:hAnsi="Arial"/>
                <w:sz w:val="20"/>
                <w:szCs w:val="20"/>
                <w:color w:val="0000FF"/>
                <w:w w:val="96"/>
              </w:rPr>
              <w:t>Directly held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00" w:type="dxa"/>
            <w:vAlign w:val="bottom"/>
          </w:tcPr>
          <w:p>
            <w:pPr>
              <w:ind w:left="80"/>
              <w:spacing w:after="0"/>
              <w:rPr>
                <w:sz w:val="20"/>
                <w:szCs w:val="20"/>
                <w:color w:val="auto"/>
              </w:rPr>
            </w:pPr>
            <w:r>
              <w:rPr>
                <w:rFonts w:ascii="Arial" w:cs="Arial" w:eastAsia="Arial" w:hAnsi="Arial"/>
                <w:sz w:val="20"/>
                <w:szCs w:val="20"/>
                <w:color w:val="0000FF"/>
              </w:rPr>
              <w:t>Warrants (Right to Buy)</w:t>
            </w:r>
          </w:p>
        </w:tc>
        <w:tc>
          <w:tcPr>
            <w:tcW w:w="1140" w:type="dxa"/>
            <w:vAlign w:val="bottom"/>
          </w:tcPr>
          <w:p>
            <w:pPr>
              <w:jc w:val="center"/>
              <w:ind w:left="150"/>
              <w:spacing w:after="0"/>
              <w:rPr>
                <w:sz w:val="20"/>
                <w:szCs w:val="20"/>
                <w:color w:val="auto"/>
              </w:rPr>
            </w:pPr>
            <w:r>
              <w:rPr>
                <w:rFonts w:ascii="Arial" w:cs="Arial" w:eastAsia="Arial" w:hAnsi="Arial"/>
                <w:sz w:val="15"/>
                <w:szCs w:val="15"/>
                <w:color w:val="0000FF"/>
                <w:w w:val="90"/>
              </w:rPr>
              <w:t>03/29/2019</w:t>
            </w:r>
          </w:p>
        </w:tc>
        <w:tc>
          <w:tcPr>
            <w:tcW w:w="1020" w:type="dxa"/>
            <w:vAlign w:val="bottom"/>
          </w:tcPr>
          <w:p>
            <w:pPr>
              <w:jc w:val="center"/>
              <w:spacing w:after="0"/>
              <w:rPr>
                <w:sz w:val="20"/>
                <w:szCs w:val="20"/>
                <w:color w:val="auto"/>
              </w:rPr>
            </w:pPr>
            <w:r>
              <w:rPr>
                <w:rFonts w:ascii="Arial" w:cs="Arial" w:eastAsia="Arial" w:hAnsi="Arial"/>
                <w:sz w:val="13"/>
                <w:szCs w:val="13"/>
                <w:color w:val="008000"/>
              </w:rPr>
              <w:t>(9)</w:t>
            </w:r>
          </w:p>
        </w:tc>
        <w:tc>
          <w:tcPr>
            <w:tcW w:w="1580" w:type="dxa"/>
            <w:vAlign w:val="bottom"/>
          </w:tcPr>
          <w:p>
            <w:pPr>
              <w:ind w:left="180"/>
              <w:spacing w:after="0"/>
              <w:rPr>
                <w:sz w:val="20"/>
                <w:szCs w:val="20"/>
                <w:color w:val="auto"/>
              </w:rPr>
            </w:pPr>
            <w:r>
              <w:rPr>
                <w:rFonts w:ascii="Arial" w:cs="Arial" w:eastAsia="Arial" w:hAnsi="Arial"/>
                <w:sz w:val="20"/>
                <w:szCs w:val="20"/>
                <w:color w:val="0000FF"/>
              </w:rPr>
              <w:t>Common Stock</w:t>
            </w:r>
          </w:p>
        </w:tc>
        <w:tc>
          <w:tcPr>
            <w:tcW w:w="1120" w:type="dxa"/>
            <w:vAlign w:val="bottom"/>
          </w:tcPr>
          <w:p>
            <w:pPr>
              <w:jc w:val="center"/>
              <w:spacing w:after="0" w:line="240" w:lineRule="exact"/>
              <w:rPr>
                <w:sz w:val="20"/>
                <w:szCs w:val="20"/>
                <w:color w:val="auto"/>
              </w:rPr>
            </w:pPr>
            <w:r>
              <w:rPr>
                <w:rFonts w:ascii="Arial" w:cs="Arial" w:eastAsia="Arial" w:hAnsi="Arial"/>
                <w:sz w:val="20"/>
                <w:szCs w:val="20"/>
                <w:color w:val="0000FF"/>
                <w:w w:val="83"/>
              </w:rPr>
              <w:t>34,846</w:t>
            </w:r>
            <w:r>
              <w:rPr>
                <w:rFonts w:ascii="Arial" w:cs="Arial" w:eastAsia="Arial" w:hAnsi="Arial"/>
                <w:sz w:val="25"/>
                <w:szCs w:val="25"/>
                <w:color w:val="008000"/>
                <w:w w:val="83"/>
                <w:vertAlign w:val="superscript"/>
              </w:rPr>
              <w:t>(2)</w:t>
            </w:r>
          </w:p>
        </w:tc>
        <w:tc>
          <w:tcPr>
            <w:tcW w:w="980" w:type="dxa"/>
            <w:vAlign w:val="bottom"/>
          </w:tcPr>
          <w:p>
            <w:pPr>
              <w:jc w:val="center"/>
              <w:ind w:right="76"/>
              <w:spacing w:after="0" w:line="240" w:lineRule="exact"/>
              <w:rPr>
                <w:sz w:val="20"/>
                <w:szCs w:val="20"/>
                <w:color w:val="auto"/>
              </w:rPr>
            </w:pPr>
            <w:r>
              <w:rPr>
                <w:rFonts w:ascii="Arial" w:cs="Arial" w:eastAsia="Arial" w:hAnsi="Arial"/>
                <w:sz w:val="20"/>
                <w:szCs w:val="20"/>
                <w:color w:val="0000FF"/>
                <w:w w:val="84"/>
              </w:rPr>
              <w:t>5.28</w:t>
            </w:r>
            <w:r>
              <w:rPr>
                <w:rFonts w:ascii="Arial" w:cs="Arial" w:eastAsia="Arial" w:hAnsi="Arial"/>
                <w:sz w:val="25"/>
                <w:szCs w:val="25"/>
                <w:color w:val="008000"/>
                <w:w w:val="84"/>
                <w:vertAlign w:val="superscript"/>
              </w:rPr>
              <w:t>(8)</w:t>
            </w:r>
          </w:p>
        </w:tc>
        <w:tc>
          <w:tcPr>
            <w:tcW w:w="660" w:type="dxa"/>
            <w:vAlign w:val="bottom"/>
          </w:tcPr>
          <w:p>
            <w:pPr>
              <w:ind w:left="340"/>
              <w:spacing w:after="0"/>
              <w:rPr>
                <w:sz w:val="20"/>
                <w:szCs w:val="20"/>
                <w:color w:val="auto"/>
              </w:rPr>
            </w:pPr>
            <w:r>
              <w:rPr>
                <w:rFonts w:ascii="Arial" w:cs="Arial" w:eastAsia="Arial" w:hAnsi="Arial"/>
                <w:sz w:val="20"/>
                <w:szCs w:val="20"/>
                <w:color w:val="0000FF"/>
              </w:rPr>
              <w:t>I</w:t>
            </w:r>
          </w:p>
        </w:tc>
        <w:tc>
          <w:tcPr>
            <w:tcW w:w="1600" w:type="dxa"/>
            <w:vAlign w:val="bottom"/>
          </w:tcPr>
          <w:p>
            <w:pPr>
              <w:ind w:left="260"/>
              <w:spacing w:after="0"/>
              <w:rPr>
                <w:sz w:val="20"/>
                <w:szCs w:val="20"/>
                <w:color w:val="auto"/>
              </w:rPr>
            </w:pPr>
            <w:r>
              <w:rPr>
                <w:rFonts w:ascii="Arial" w:cs="Arial" w:eastAsia="Arial" w:hAnsi="Arial"/>
                <w:sz w:val="20"/>
                <w:szCs w:val="20"/>
                <w:color w:val="0000FF"/>
              </w:rPr>
              <w:t>Bios Fund II</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2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260"/>
              <w:spacing w:after="0" w:line="309" w:lineRule="exact"/>
              <w:rPr>
                <w:sz w:val="20"/>
                <w:szCs w:val="20"/>
                <w:color w:val="auto"/>
              </w:rPr>
            </w:pPr>
            <w:r>
              <w:rPr>
                <w:rFonts w:ascii="Arial" w:cs="Arial" w:eastAsia="Arial" w:hAnsi="Arial"/>
                <w:sz w:val="35"/>
                <w:szCs w:val="35"/>
                <w:color w:val="0000FF"/>
                <w:vertAlign w:val="subscript"/>
              </w:rPr>
              <w:t>QP, LP</w:t>
            </w:r>
            <w:r>
              <w:rPr>
                <w:rFonts w:ascii="Arial" w:cs="Arial" w:eastAsia="Arial" w:hAnsi="Arial"/>
                <w:sz w:val="12"/>
                <w:szCs w:val="12"/>
                <w:color w:val="008000"/>
              </w:rPr>
              <w:t>(3)(4)</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ind w:left="260"/>
              <w:spacing w:after="0"/>
              <w:rPr>
                <w:sz w:val="20"/>
                <w:szCs w:val="20"/>
                <w:color w:val="auto"/>
              </w:rPr>
            </w:pPr>
            <w:r>
              <w:rPr>
                <w:rFonts w:ascii="Arial" w:cs="Arial" w:eastAsia="Arial" w:hAnsi="Arial"/>
                <w:sz w:val="20"/>
                <w:szCs w:val="20"/>
                <w:color w:val="0000FF"/>
                <w:w w:val="96"/>
              </w:rPr>
              <w:t>Directly held by</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00" w:type="dxa"/>
            <w:vAlign w:val="bottom"/>
          </w:tcPr>
          <w:p>
            <w:pPr>
              <w:ind w:left="80"/>
              <w:spacing w:after="0"/>
              <w:rPr>
                <w:sz w:val="20"/>
                <w:szCs w:val="20"/>
                <w:color w:val="auto"/>
              </w:rPr>
            </w:pPr>
            <w:r>
              <w:rPr>
                <w:rFonts w:ascii="Arial" w:cs="Arial" w:eastAsia="Arial" w:hAnsi="Arial"/>
                <w:sz w:val="20"/>
                <w:szCs w:val="20"/>
                <w:color w:val="0000FF"/>
              </w:rPr>
              <w:t>Warrants (Right to Buy)</w:t>
            </w:r>
          </w:p>
        </w:tc>
        <w:tc>
          <w:tcPr>
            <w:tcW w:w="1140" w:type="dxa"/>
            <w:vAlign w:val="bottom"/>
          </w:tcPr>
          <w:p>
            <w:pPr>
              <w:jc w:val="center"/>
              <w:ind w:left="150"/>
              <w:spacing w:after="0"/>
              <w:rPr>
                <w:sz w:val="20"/>
                <w:szCs w:val="20"/>
                <w:color w:val="auto"/>
              </w:rPr>
            </w:pPr>
            <w:r>
              <w:rPr>
                <w:rFonts w:ascii="Arial" w:cs="Arial" w:eastAsia="Arial" w:hAnsi="Arial"/>
                <w:sz w:val="15"/>
                <w:szCs w:val="15"/>
                <w:color w:val="0000FF"/>
                <w:w w:val="90"/>
              </w:rPr>
              <w:t>03/29/2019</w:t>
            </w:r>
          </w:p>
        </w:tc>
        <w:tc>
          <w:tcPr>
            <w:tcW w:w="1020" w:type="dxa"/>
            <w:vAlign w:val="bottom"/>
          </w:tcPr>
          <w:p>
            <w:pPr>
              <w:jc w:val="center"/>
              <w:spacing w:after="0"/>
              <w:rPr>
                <w:sz w:val="20"/>
                <w:szCs w:val="20"/>
                <w:color w:val="auto"/>
              </w:rPr>
            </w:pPr>
            <w:r>
              <w:rPr>
                <w:rFonts w:ascii="Arial" w:cs="Arial" w:eastAsia="Arial" w:hAnsi="Arial"/>
                <w:sz w:val="13"/>
                <w:szCs w:val="13"/>
                <w:color w:val="008000"/>
              </w:rPr>
              <w:t>(9)</w:t>
            </w:r>
          </w:p>
        </w:tc>
        <w:tc>
          <w:tcPr>
            <w:tcW w:w="1580" w:type="dxa"/>
            <w:vAlign w:val="bottom"/>
          </w:tcPr>
          <w:p>
            <w:pPr>
              <w:ind w:left="180"/>
              <w:spacing w:after="0"/>
              <w:rPr>
                <w:sz w:val="20"/>
                <w:szCs w:val="20"/>
                <w:color w:val="auto"/>
              </w:rPr>
            </w:pPr>
            <w:r>
              <w:rPr>
                <w:rFonts w:ascii="Arial" w:cs="Arial" w:eastAsia="Arial" w:hAnsi="Arial"/>
                <w:sz w:val="20"/>
                <w:szCs w:val="20"/>
                <w:color w:val="0000FF"/>
              </w:rPr>
              <w:t>Common Stock</w:t>
            </w:r>
          </w:p>
        </w:tc>
        <w:tc>
          <w:tcPr>
            <w:tcW w:w="1120" w:type="dxa"/>
            <w:vAlign w:val="bottom"/>
          </w:tcPr>
          <w:p>
            <w:pPr>
              <w:jc w:val="center"/>
              <w:spacing w:after="0" w:line="240" w:lineRule="exact"/>
              <w:rPr>
                <w:sz w:val="20"/>
                <w:szCs w:val="20"/>
                <w:color w:val="auto"/>
              </w:rPr>
            </w:pPr>
            <w:r>
              <w:rPr>
                <w:rFonts w:ascii="Arial" w:cs="Arial" w:eastAsia="Arial" w:hAnsi="Arial"/>
                <w:sz w:val="20"/>
                <w:szCs w:val="20"/>
                <w:color w:val="0000FF"/>
                <w:w w:val="83"/>
              </w:rPr>
              <w:t>39,760</w:t>
            </w:r>
            <w:r>
              <w:rPr>
                <w:rFonts w:ascii="Arial" w:cs="Arial" w:eastAsia="Arial" w:hAnsi="Arial"/>
                <w:sz w:val="25"/>
                <w:szCs w:val="25"/>
                <w:color w:val="008000"/>
                <w:w w:val="83"/>
                <w:vertAlign w:val="superscript"/>
              </w:rPr>
              <w:t>(2)</w:t>
            </w:r>
          </w:p>
        </w:tc>
        <w:tc>
          <w:tcPr>
            <w:tcW w:w="980" w:type="dxa"/>
            <w:vAlign w:val="bottom"/>
          </w:tcPr>
          <w:p>
            <w:pPr>
              <w:jc w:val="center"/>
              <w:ind w:right="76"/>
              <w:spacing w:after="0" w:line="240" w:lineRule="exact"/>
              <w:rPr>
                <w:sz w:val="20"/>
                <w:szCs w:val="20"/>
                <w:color w:val="auto"/>
              </w:rPr>
            </w:pPr>
            <w:r>
              <w:rPr>
                <w:rFonts w:ascii="Arial" w:cs="Arial" w:eastAsia="Arial" w:hAnsi="Arial"/>
                <w:sz w:val="20"/>
                <w:szCs w:val="20"/>
                <w:color w:val="0000FF"/>
                <w:w w:val="84"/>
              </w:rPr>
              <w:t>5.28</w:t>
            </w:r>
            <w:r>
              <w:rPr>
                <w:rFonts w:ascii="Arial" w:cs="Arial" w:eastAsia="Arial" w:hAnsi="Arial"/>
                <w:sz w:val="25"/>
                <w:szCs w:val="25"/>
                <w:color w:val="008000"/>
                <w:w w:val="84"/>
                <w:vertAlign w:val="superscript"/>
              </w:rPr>
              <w:t>(8)</w:t>
            </w:r>
          </w:p>
        </w:tc>
        <w:tc>
          <w:tcPr>
            <w:tcW w:w="660" w:type="dxa"/>
            <w:vAlign w:val="bottom"/>
          </w:tcPr>
          <w:p>
            <w:pPr>
              <w:ind w:left="340"/>
              <w:spacing w:after="0"/>
              <w:rPr>
                <w:sz w:val="20"/>
                <w:szCs w:val="20"/>
                <w:color w:val="auto"/>
              </w:rPr>
            </w:pPr>
            <w:r>
              <w:rPr>
                <w:rFonts w:ascii="Arial" w:cs="Arial" w:eastAsia="Arial" w:hAnsi="Arial"/>
                <w:sz w:val="20"/>
                <w:szCs w:val="20"/>
                <w:color w:val="0000FF"/>
              </w:rPr>
              <w:t>I</w:t>
            </w:r>
          </w:p>
        </w:tc>
        <w:tc>
          <w:tcPr>
            <w:tcW w:w="1600" w:type="dxa"/>
            <w:vAlign w:val="bottom"/>
          </w:tcPr>
          <w:p>
            <w:pPr>
              <w:ind w:left="260"/>
              <w:spacing w:after="0"/>
              <w:rPr>
                <w:sz w:val="20"/>
                <w:szCs w:val="20"/>
                <w:color w:val="auto"/>
              </w:rPr>
            </w:pPr>
            <w:r>
              <w:rPr>
                <w:rFonts w:ascii="Arial" w:cs="Arial" w:eastAsia="Arial" w:hAnsi="Arial"/>
                <w:sz w:val="20"/>
                <w:szCs w:val="20"/>
                <w:color w:val="0000FF"/>
                <w:w w:val="98"/>
              </w:rPr>
              <w:t>Bios Azitra Co-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8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ind w:left="260"/>
              <w:spacing w:after="0"/>
              <w:rPr>
                <w:sz w:val="20"/>
                <w:szCs w:val="20"/>
                <w:color w:val="auto"/>
              </w:rPr>
            </w:pPr>
            <w:r>
              <w:rPr>
                <w:rFonts w:ascii="Arial" w:cs="Arial" w:eastAsia="Arial" w:hAnsi="Arial"/>
                <w:sz w:val="20"/>
                <w:szCs w:val="20"/>
                <w:color w:val="0000FF"/>
                <w:w w:val="93"/>
              </w:rPr>
              <w:t>Invest I, LP</w:t>
            </w:r>
            <w:r>
              <w:rPr>
                <w:rFonts w:ascii="Arial" w:cs="Arial" w:eastAsia="Arial" w:hAnsi="Arial"/>
                <w:sz w:val="25"/>
                <w:szCs w:val="25"/>
                <w:color w:val="008000"/>
                <w:w w:val="93"/>
                <w:vertAlign w:val="superscript"/>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20"/>
          </w:cols>
          <w:pgMar w:left="500" w:top="194" w:right="479" w:bottom="0" w:gutter="0" w:footer="0" w:header="0"/>
        </w:sectPr>
      </w:pPr>
    </w:p>
    <w:p>
      <w:pPr>
        <w:ind w:left="120"/>
        <w:spacing w:after="0"/>
        <w:rPr>
          <w:rFonts w:ascii="Arial" w:cs="Arial" w:eastAsia="Arial" w:hAnsi="Arial"/>
          <w:sz w:val="22"/>
          <w:szCs w:val="22"/>
          <w:u w:val="single" w:color="auto"/>
          <w:color w:val="0000EE"/>
        </w:rPr>
      </w:pPr>
      <w:hyperlink r:id="rId10">
        <w:r>
          <w:rPr>
            <w:rFonts w:ascii="Arial" w:cs="Arial" w:eastAsia="Arial" w:hAnsi="Arial"/>
            <w:sz w:val="22"/>
            <w:szCs w:val="22"/>
            <w:u w:val="single" w:color="auto"/>
            <w:color w:val="0000EE"/>
          </w:rPr>
          <w:t>Kreis Leslie W.</w:t>
        </w:r>
      </w:hyperlink>
    </w:p>
    <w:p>
      <w:pPr>
        <w:sectPr>
          <w:pgSz w:w="11900" w:h="16838" w:orient="portrait"/>
          <w:cols w:equalWidth="0" w:num="1">
            <w:col w:w="10920"/>
          </w:cols>
          <w:pgMar w:left="500" w:top="194" w:right="47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37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9A9A9A"/>
            </w:tcBorders>
          </w:tcPr>
          <w:p>
            <w:pPr>
              <w:spacing w:after="0"/>
              <w:rPr>
                <w:sz w:val="24"/>
                <w:szCs w:val="24"/>
                <w:color w:val="auto"/>
              </w:rPr>
            </w:pPr>
          </w:p>
        </w:tc>
        <w:tc>
          <w:tcPr>
            <w:tcW w:w="1300" w:type="dxa"/>
            <w:vAlign w:val="bottom"/>
            <w:tcBorders>
              <w:top w:val="single" w:sz="8" w:color="9A9A9A"/>
            </w:tcBorders>
          </w:tcPr>
          <w:p>
            <w:pPr>
              <w:spacing w:after="0"/>
              <w:rPr>
                <w:sz w:val="20"/>
                <w:szCs w:val="20"/>
                <w:color w:val="auto"/>
              </w:rPr>
            </w:pPr>
            <w:r>
              <w:rPr>
                <w:rFonts w:ascii="Arial" w:cs="Arial" w:eastAsia="Arial" w:hAnsi="Arial"/>
                <w:sz w:val="15"/>
                <w:szCs w:val="15"/>
                <w:color w:val="auto"/>
              </w:rPr>
              <w:t>(Last)</w:t>
            </w:r>
          </w:p>
        </w:tc>
        <w:tc>
          <w:tcPr>
            <w:tcW w:w="1380" w:type="dxa"/>
            <w:vAlign w:val="bottom"/>
            <w:tcBorders>
              <w:top w:val="single" w:sz="8" w:color="9A9A9A"/>
            </w:tcBorders>
            <w:gridSpan w:val="4"/>
          </w:tcPr>
          <w:p>
            <w:pPr>
              <w:ind w:left="80"/>
              <w:spacing w:after="0"/>
              <w:rPr>
                <w:sz w:val="20"/>
                <w:szCs w:val="20"/>
                <w:color w:val="auto"/>
              </w:rPr>
            </w:pPr>
            <w:r>
              <w:rPr>
                <w:rFonts w:ascii="Arial" w:cs="Arial" w:eastAsia="Arial" w:hAnsi="Arial"/>
                <w:sz w:val="15"/>
                <w:szCs w:val="15"/>
                <w:color w:val="auto"/>
              </w:rPr>
              <w:t>(First)</w:t>
            </w:r>
          </w:p>
        </w:tc>
        <w:tc>
          <w:tcPr>
            <w:tcW w:w="1440" w:type="dxa"/>
            <w:vAlign w:val="bottom"/>
            <w:tcBorders>
              <w:top w:val="single" w:sz="8" w:color="9A9A9A"/>
            </w:tcBorders>
          </w:tcPr>
          <w:p>
            <w:pPr>
              <w:ind w:left="100"/>
              <w:spacing w:after="0"/>
              <w:rPr>
                <w:sz w:val="20"/>
                <w:szCs w:val="20"/>
                <w:color w:val="auto"/>
              </w:rPr>
            </w:pPr>
            <w:r>
              <w:rPr>
                <w:rFonts w:ascii="Arial" w:cs="Arial" w:eastAsia="Arial" w:hAnsi="Arial"/>
                <w:sz w:val="15"/>
                <w:szCs w:val="15"/>
                <w:color w:val="auto"/>
              </w:rPr>
              <w:t>(Middle)</w:t>
            </w:r>
          </w:p>
        </w:tc>
        <w:tc>
          <w:tcPr>
            <w:tcW w:w="120" w:type="dxa"/>
            <w:vAlign w:val="bottom"/>
            <w:tcBorders>
              <w:right w:val="single" w:sz="8" w:color="808080"/>
            </w:tcBorders>
          </w:tcPr>
          <w:p>
            <w:pPr>
              <w:spacing w:after="0"/>
              <w:rPr>
                <w:sz w:val="24"/>
                <w:szCs w:val="24"/>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5"/>
          </w:tcPr>
          <w:p>
            <w:pPr>
              <w:spacing w:after="0"/>
              <w:rPr>
                <w:sz w:val="20"/>
                <w:szCs w:val="20"/>
                <w:color w:val="auto"/>
              </w:rPr>
            </w:pPr>
            <w:r>
              <w:rPr>
                <w:rFonts w:ascii="Arial" w:cs="Arial" w:eastAsia="Arial" w:hAnsi="Arial"/>
                <w:sz w:val="20"/>
                <w:szCs w:val="20"/>
                <w:color w:val="0000FF"/>
                <w:w w:val="93"/>
              </w:rPr>
              <w:t>C/O BIOS EQUITY PARTNERS</w:t>
            </w:r>
          </w:p>
        </w:tc>
        <w:tc>
          <w:tcPr>
            <w:tcW w:w="1440" w:type="dxa"/>
            <w:vAlign w:val="bottom"/>
          </w:tcPr>
          <w:p>
            <w:pPr>
              <w:spacing w:after="0"/>
              <w:rPr>
                <w:sz w:val="24"/>
                <w:szCs w:val="24"/>
                <w:color w:val="auto"/>
              </w:rPr>
            </w:pPr>
          </w:p>
        </w:tc>
        <w:tc>
          <w:tcPr>
            <w:tcW w:w="120" w:type="dxa"/>
            <w:vAlign w:val="bottom"/>
            <w:tcBorders>
              <w:right w:val="single" w:sz="8" w:color="808080"/>
            </w:tcBorders>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5"/>
          </w:tcPr>
          <w:p>
            <w:pPr>
              <w:spacing w:after="0"/>
              <w:rPr>
                <w:sz w:val="20"/>
                <w:szCs w:val="20"/>
                <w:color w:val="auto"/>
              </w:rPr>
            </w:pPr>
            <w:r>
              <w:rPr>
                <w:rFonts w:ascii="Arial" w:cs="Arial" w:eastAsia="Arial" w:hAnsi="Arial"/>
                <w:sz w:val="20"/>
                <w:szCs w:val="20"/>
                <w:color w:val="0000FF"/>
              </w:rPr>
              <w:t>1751 RIVER RUN SUITE 400</w:t>
            </w:r>
          </w:p>
        </w:tc>
        <w:tc>
          <w:tcPr>
            <w:tcW w:w="1440" w:type="dxa"/>
            <w:vAlign w:val="bottom"/>
          </w:tcPr>
          <w:p>
            <w:pPr>
              <w:spacing w:after="0"/>
              <w:rPr>
                <w:sz w:val="24"/>
                <w:szCs w:val="24"/>
                <w:color w:val="auto"/>
              </w:rPr>
            </w:pPr>
          </w:p>
        </w:tc>
        <w:tc>
          <w:tcPr>
            <w:tcW w:w="120" w:type="dxa"/>
            <w:vAlign w:val="bottom"/>
            <w:tcBorders>
              <w:right w:val="single" w:sz="8" w:color="808080"/>
            </w:tcBorders>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Borders>
              <w:right w:val="single" w:sz="8" w:color="808080"/>
            </w:tcBorders>
          </w:tcPr>
          <w:p>
            <w:pPr>
              <w:spacing w:after="0"/>
              <w:rPr>
                <w:sz w:val="15"/>
                <w:szCs w:val="15"/>
                <w:color w:val="auto"/>
              </w:rPr>
            </w:pPr>
          </w:p>
        </w:tc>
      </w:tr>
      <w:tr>
        <w:trPr>
          <w:trHeight w:val="299"/>
        </w:trPr>
        <w:tc>
          <w:tcPr>
            <w:tcW w:w="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right w:val="single" w:sz="8" w:color="808080"/>
            </w:tcBorders>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20"/>
                <w:szCs w:val="20"/>
                <w:color w:val="0000FF"/>
                <w:w w:val="94"/>
              </w:rPr>
              <w:t>FORT WORTH</w:t>
            </w:r>
          </w:p>
        </w:tc>
        <w:tc>
          <w:tcPr>
            <w:tcW w:w="1380" w:type="dxa"/>
            <w:vAlign w:val="bottom"/>
            <w:gridSpan w:val="4"/>
          </w:tcPr>
          <w:p>
            <w:pPr>
              <w:ind w:left="80"/>
              <w:spacing w:after="0"/>
              <w:rPr>
                <w:sz w:val="20"/>
                <w:szCs w:val="20"/>
                <w:color w:val="auto"/>
              </w:rPr>
            </w:pPr>
            <w:r>
              <w:rPr>
                <w:rFonts w:ascii="Arial" w:cs="Arial" w:eastAsia="Arial" w:hAnsi="Arial"/>
                <w:sz w:val="20"/>
                <w:szCs w:val="20"/>
                <w:color w:val="0000FF"/>
              </w:rPr>
              <w:t>TX</w:t>
            </w:r>
          </w:p>
        </w:tc>
        <w:tc>
          <w:tcPr>
            <w:tcW w:w="1440" w:type="dxa"/>
            <w:vAlign w:val="bottom"/>
          </w:tcPr>
          <w:p>
            <w:pPr>
              <w:ind w:left="100"/>
              <w:spacing w:after="0"/>
              <w:rPr>
                <w:sz w:val="20"/>
                <w:szCs w:val="20"/>
                <w:color w:val="auto"/>
              </w:rPr>
            </w:pPr>
            <w:r>
              <w:rPr>
                <w:rFonts w:ascii="Arial" w:cs="Arial" w:eastAsia="Arial" w:hAnsi="Arial"/>
                <w:sz w:val="20"/>
                <w:szCs w:val="20"/>
                <w:color w:val="0000FF"/>
              </w:rPr>
              <w:t>76107</w:t>
            </w:r>
          </w:p>
        </w:tc>
        <w:tc>
          <w:tcPr>
            <w:tcW w:w="120" w:type="dxa"/>
            <w:vAlign w:val="bottom"/>
            <w:tcBorders>
              <w:right w:val="single" w:sz="8" w:color="808080"/>
            </w:tcBorders>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Borders>
              <w:right w:val="single" w:sz="8" w:color="808080"/>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4"/>
          </w:tcPr>
          <w:p>
            <w:pPr>
              <w:ind w:left="80"/>
              <w:spacing w:after="0"/>
              <w:rPr>
                <w:sz w:val="20"/>
                <w:szCs w:val="20"/>
                <w:color w:val="auto"/>
              </w:rPr>
            </w:pPr>
            <w:r>
              <w:rPr>
                <w:rFonts w:ascii="Arial" w:cs="Arial" w:eastAsia="Arial" w:hAnsi="Arial"/>
                <w:sz w:val="15"/>
                <w:szCs w:val="15"/>
                <w:color w:val="auto"/>
              </w:rPr>
              <w:t>(State)</w:t>
            </w:r>
          </w:p>
        </w:tc>
        <w:tc>
          <w:tcPr>
            <w:tcW w:w="1560" w:type="dxa"/>
            <w:vAlign w:val="bottom"/>
            <w:tcBorders>
              <w:right w:val="single" w:sz="8" w:color="808080"/>
            </w:tcBorders>
            <w:gridSpan w:val="2"/>
          </w:tcPr>
          <w:p>
            <w:pPr>
              <w:ind w:left="100"/>
              <w:spacing w:after="0"/>
              <w:rPr>
                <w:sz w:val="20"/>
                <w:szCs w:val="20"/>
                <w:color w:val="auto"/>
              </w:rPr>
            </w:pPr>
            <w:r>
              <w:rPr>
                <w:rFonts w:ascii="Arial" w:cs="Arial" w:eastAsia="Arial" w:hAnsi="Arial"/>
                <w:sz w:val="15"/>
                <w:szCs w:val="15"/>
                <w:color w:val="auto"/>
              </w:rPr>
              <w:t>(Zip)</w:t>
            </w:r>
          </w:p>
        </w:tc>
      </w:tr>
      <w:tr>
        <w:trPr>
          <w:trHeight w:val="146"/>
        </w:trPr>
        <w:tc>
          <w:tcPr>
            <w:tcW w:w="20" w:type="dxa"/>
            <w:vAlign w:val="bottom"/>
            <w:tcBorders>
              <w:bottom w:val="single" w:sz="8" w:color="808080"/>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640" w:type="dxa"/>
            <w:vAlign w:val="bottom"/>
            <w:tcBorders>
              <w:bottom w:val="single" w:sz="8" w:color="2C2C2C"/>
            </w:tcBorders>
            <w:gridSpan w:val="2"/>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gridSpan w:val="2"/>
          </w:tcPr>
          <w:p>
            <w:pPr>
              <w:spacing w:after="0"/>
              <w:rPr>
                <w:sz w:val="12"/>
                <w:szCs w:val="12"/>
                <w:color w:val="auto"/>
              </w:rPr>
            </w:pPr>
          </w:p>
        </w:tc>
        <w:tc>
          <w:tcPr>
            <w:tcW w:w="120" w:type="dxa"/>
            <w:vAlign w:val="bottom"/>
            <w:tcBorders>
              <w:bottom w:val="single" w:sz="8" w:color="2C2C2C"/>
              <w:right w:val="single" w:sz="8" w:color="808080"/>
            </w:tcBorders>
          </w:tcPr>
          <w:p>
            <w:pPr>
              <w:spacing w:after="0"/>
              <w:rPr>
                <w:sz w:val="12"/>
                <w:szCs w:val="12"/>
                <w:color w:val="auto"/>
              </w:rPr>
            </w:pPr>
          </w:p>
        </w:tc>
      </w:tr>
      <w:tr>
        <w:trPr>
          <w:trHeight w:val="306"/>
        </w:trPr>
        <w:tc>
          <w:tcPr>
            <w:tcW w:w="20" w:type="dxa"/>
            <w:vAlign w:val="bottom"/>
          </w:tcPr>
          <w:p>
            <w:pPr>
              <w:spacing w:after="0"/>
              <w:rPr>
                <w:sz w:val="24"/>
                <w:szCs w:val="24"/>
                <w:color w:val="auto"/>
              </w:rPr>
            </w:pPr>
          </w:p>
        </w:tc>
        <w:tc>
          <w:tcPr>
            <w:tcW w:w="4360" w:type="dxa"/>
            <w:vAlign w:val="bottom"/>
            <w:gridSpan w:val="9"/>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line="249" w:lineRule="exact"/>
              <w:rPr>
                <w:rFonts w:ascii="Arial" w:cs="Arial" w:eastAsia="Arial" w:hAnsi="Arial"/>
                <w:sz w:val="24"/>
                <w:szCs w:val="24"/>
                <w:color w:val="0000EE"/>
              </w:rPr>
            </w:pPr>
            <w:hyperlink r:id="rId13">
              <w:r>
                <w:rPr>
                  <w:rFonts w:ascii="Arial" w:cs="Arial" w:eastAsia="Arial" w:hAnsi="Arial"/>
                  <w:sz w:val="24"/>
                  <w:szCs w:val="24"/>
                  <w:color w:val="0000EE"/>
                </w:rPr>
                <w:t>Cavu Advisors, LLC</w:t>
              </w:r>
            </w:hyperlink>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4"/>
          </w:tcPr>
          <w:p>
            <w:pPr>
              <w:ind w:left="8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5"/>
          </w:tcPr>
          <w:p>
            <w:pPr>
              <w:spacing w:after="0"/>
              <w:rPr>
                <w:sz w:val="20"/>
                <w:szCs w:val="20"/>
                <w:color w:val="auto"/>
              </w:rPr>
            </w:pPr>
            <w:r>
              <w:rPr>
                <w:rFonts w:ascii="Arial" w:cs="Arial" w:eastAsia="Arial" w:hAnsi="Arial"/>
                <w:sz w:val="20"/>
                <w:szCs w:val="20"/>
                <w:color w:val="0000FF"/>
                <w:w w:val="93"/>
              </w:rPr>
              <w:t>C/O BIOS EQUITY PARTNERS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5"/>
          </w:tcPr>
          <w:p>
            <w:pPr>
              <w:spacing w:after="0"/>
              <w:rPr>
                <w:sz w:val="20"/>
                <w:szCs w:val="20"/>
                <w:color w:val="auto"/>
              </w:rPr>
            </w:pPr>
            <w:r>
              <w:rPr>
                <w:rFonts w:ascii="Arial" w:cs="Arial" w:eastAsia="Arial" w:hAnsi="Arial"/>
                <w:sz w:val="20"/>
                <w:szCs w:val="20"/>
                <w:color w:val="0000FF"/>
              </w:rPr>
              <w:t>1751 RIVER RUN SUITE 400</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20"/>
                <w:szCs w:val="20"/>
                <w:color w:val="0000FF"/>
                <w:w w:val="94"/>
              </w:rPr>
              <w:t>FORT WORTH</w:t>
            </w:r>
          </w:p>
        </w:tc>
        <w:tc>
          <w:tcPr>
            <w:tcW w:w="1380" w:type="dxa"/>
            <w:vAlign w:val="bottom"/>
            <w:gridSpan w:val="4"/>
          </w:tcPr>
          <w:p>
            <w:pPr>
              <w:ind w:left="80"/>
              <w:spacing w:after="0"/>
              <w:rPr>
                <w:sz w:val="20"/>
                <w:szCs w:val="20"/>
                <w:color w:val="auto"/>
              </w:rPr>
            </w:pPr>
            <w:r>
              <w:rPr>
                <w:rFonts w:ascii="Arial" w:cs="Arial" w:eastAsia="Arial" w:hAnsi="Arial"/>
                <w:sz w:val="20"/>
                <w:szCs w:val="20"/>
                <w:color w:val="0000FF"/>
              </w:rPr>
              <w:t>TX</w:t>
            </w:r>
          </w:p>
        </w:tc>
        <w:tc>
          <w:tcPr>
            <w:tcW w:w="1440" w:type="dxa"/>
            <w:vAlign w:val="bottom"/>
          </w:tcPr>
          <w:p>
            <w:pPr>
              <w:ind w:left="100"/>
              <w:spacing w:after="0"/>
              <w:rPr>
                <w:sz w:val="20"/>
                <w:szCs w:val="20"/>
                <w:color w:val="auto"/>
              </w:rPr>
            </w:pPr>
            <w:r>
              <w:rPr>
                <w:rFonts w:ascii="Arial" w:cs="Arial" w:eastAsia="Arial" w:hAnsi="Arial"/>
                <w:sz w:val="20"/>
                <w:szCs w:val="20"/>
                <w:color w:val="0000FF"/>
              </w:rPr>
              <w:t>76107</w:t>
            </w:r>
          </w:p>
        </w:tc>
        <w:tc>
          <w:tcPr>
            <w:tcW w:w="120" w:type="dxa"/>
            <w:vAlign w:val="bottom"/>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4"/>
          </w:tcPr>
          <w:p>
            <w:pPr>
              <w:ind w:left="8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101"/>
        </w:trPr>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64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gridSpan w:val="3"/>
          </w:tcPr>
          <w:p>
            <w:pPr>
              <w:spacing w:after="0"/>
              <w:rPr>
                <w:sz w:val="8"/>
                <w:szCs w:val="8"/>
                <w:color w:val="auto"/>
              </w:rPr>
            </w:pPr>
          </w:p>
        </w:tc>
      </w:tr>
      <w:tr>
        <w:trPr>
          <w:trHeight w:val="291"/>
        </w:trPr>
        <w:tc>
          <w:tcPr>
            <w:tcW w:w="20" w:type="dxa"/>
            <w:vAlign w:val="bottom"/>
          </w:tcPr>
          <w:p>
            <w:pPr>
              <w:spacing w:after="0"/>
              <w:rPr>
                <w:sz w:val="24"/>
                <w:szCs w:val="24"/>
                <w:color w:val="auto"/>
              </w:rPr>
            </w:pPr>
          </w:p>
        </w:tc>
        <w:tc>
          <w:tcPr>
            <w:tcW w:w="4360" w:type="dxa"/>
            <w:vAlign w:val="bottom"/>
            <w:gridSpan w:val="9"/>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line="249" w:lineRule="exact"/>
              <w:rPr>
                <w:rFonts w:ascii="Arial" w:cs="Arial" w:eastAsia="Arial" w:hAnsi="Arial"/>
                <w:sz w:val="24"/>
                <w:szCs w:val="24"/>
                <w:color w:val="0000EE"/>
              </w:rPr>
            </w:pPr>
            <w:hyperlink r:id="rId14">
              <w:r>
                <w:rPr>
                  <w:rFonts w:ascii="Arial" w:cs="Arial" w:eastAsia="Arial" w:hAnsi="Arial"/>
                  <w:sz w:val="24"/>
                  <w:szCs w:val="24"/>
                  <w:color w:val="0000EE"/>
                </w:rPr>
                <w:t>Cavu Management, LP</w:t>
              </w:r>
            </w:hyperlink>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4"/>
          </w:tcPr>
          <w:p>
            <w:pPr>
              <w:ind w:left="8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5"/>
          </w:tcPr>
          <w:p>
            <w:pPr>
              <w:spacing w:after="0"/>
              <w:rPr>
                <w:sz w:val="20"/>
                <w:szCs w:val="20"/>
                <w:color w:val="auto"/>
              </w:rPr>
            </w:pPr>
            <w:r>
              <w:rPr>
                <w:rFonts w:ascii="Arial" w:cs="Arial" w:eastAsia="Arial" w:hAnsi="Arial"/>
                <w:sz w:val="20"/>
                <w:szCs w:val="20"/>
                <w:color w:val="0000FF"/>
                <w:w w:val="93"/>
              </w:rPr>
              <w:t>C/O BIOS EQUITY PARTNERS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5"/>
          </w:tcPr>
          <w:p>
            <w:pPr>
              <w:spacing w:after="0"/>
              <w:rPr>
                <w:sz w:val="20"/>
                <w:szCs w:val="20"/>
                <w:color w:val="auto"/>
              </w:rPr>
            </w:pPr>
            <w:r>
              <w:rPr>
                <w:rFonts w:ascii="Arial" w:cs="Arial" w:eastAsia="Arial" w:hAnsi="Arial"/>
                <w:sz w:val="20"/>
                <w:szCs w:val="20"/>
                <w:color w:val="0000FF"/>
              </w:rPr>
              <w:t>1751 RIVER RUN SUITE 400</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20"/>
                <w:szCs w:val="20"/>
                <w:color w:val="0000FF"/>
                <w:w w:val="94"/>
              </w:rPr>
              <w:t>FORT WORTH</w:t>
            </w:r>
          </w:p>
        </w:tc>
        <w:tc>
          <w:tcPr>
            <w:tcW w:w="1380" w:type="dxa"/>
            <w:vAlign w:val="bottom"/>
            <w:gridSpan w:val="4"/>
          </w:tcPr>
          <w:p>
            <w:pPr>
              <w:ind w:left="80"/>
              <w:spacing w:after="0"/>
              <w:rPr>
                <w:sz w:val="20"/>
                <w:szCs w:val="20"/>
                <w:color w:val="auto"/>
              </w:rPr>
            </w:pPr>
            <w:r>
              <w:rPr>
                <w:rFonts w:ascii="Arial" w:cs="Arial" w:eastAsia="Arial" w:hAnsi="Arial"/>
                <w:sz w:val="20"/>
                <w:szCs w:val="20"/>
                <w:color w:val="0000FF"/>
              </w:rPr>
              <w:t>TX</w:t>
            </w:r>
          </w:p>
        </w:tc>
        <w:tc>
          <w:tcPr>
            <w:tcW w:w="1440" w:type="dxa"/>
            <w:vAlign w:val="bottom"/>
          </w:tcPr>
          <w:p>
            <w:pPr>
              <w:ind w:left="100"/>
              <w:spacing w:after="0"/>
              <w:rPr>
                <w:sz w:val="20"/>
                <w:szCs w:val="20"/>
                <w:color w:val="auto"/>
              </w:rPr>
            </w:pPr>
            <w:r>
              <w:rPr>
                <w:rFonts w:ascii="Arial" w:cs="Arial" w:eastAsia="Arial" w:hAnsi="Arial"/>
                <w:sz w:val="20"/>
                <w:szCs w:val="20"/>
                <w:color w:val="0000FF"/>
              </w:rPr>
              <w:t>76107</w:t>
            </w:r>
          </w:p>
        </w:tc>
        <w:tc>
          <w:tcPr>
            <w:tcW w:w="120" w:type="dxa"/>
            <w:vAlign w:val="bottom"/>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4"/>
          </w:tcPr>
          <w:p>
            <w:pPr>
              <w:ind w:left="8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101"/>
        </w:trPr>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64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gridSpan w:val="3"/>
          </w:tcPr>
          <w:p>
            <w:pPr>
              <w:spacing w:after="0"/>
              <w:rPr>
                <w:sz w:val="8"/>
                <w:szCs w:val="8"/>
                <w:color w:val="auto"/>
              </w:rPr>
            </w:pPr>
          </w:p>
        </w:tc>
      </w:tr>
      <w:tr>
        <w:trPr>
          <w:trHeight w:val="291"/>
        </w:trPr>
        <w:tc>
          <w:tcPr>
            <w:tcW w:w="20" w:type="dxa"/>
            <w:vAlign w:val="bottom"/>
          </w:tcPr>
          <w:p>
            <w:pPr>
              <w:spacing w:after="0"/>
              <w:rPr>
                <w:sz w:val="24"/>
                <w:szCs w:val="24"/>
                <w:color w:val="auto"/>
              </w:rPr>
            </w:pPr>
          </w:p>
        </w:tc>
        <w:tc>
          <w:tcPr>
            <w:tcW w:w="4360" w:type="dxa"/>
            <w:vAlign w:val="bottom"/>
            <w:gridSpan w:val="9"/>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line="249" w:lineRule="exact"/>
              <w:rPr>
                <w:rFonts w:ascii="Arial" w:cs="Arial" w:eastAsia="Arial" w:hAnsi="Arial"/>
                <w:sz w:val="24"/>
                <w:szCs w:val="24"/>
                <w:color w:val="0000EE"/>
              </w:rPr>
            </w:pPr>
            <w:hyperlink r:id="rId15">
              <w:r>
                <w:rPr>
                  <w:rFonts w:ascii="Arial" w:cs="Arial" w:eastAsia="Arial" w:hAnsi="Arial"/>
                  <w:sz w:val="24"/>
                  <w:szCs w:val="24"/>
                  <w:color w:val="0000EE"/>
                </w:rPr>
                <w:t>BIOS Fund I, LP</w:t>
              </w:r>
            </w:hyperlink>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4"/>
          </w:tcPr>
          <w:p>
            <w:pPr>
              <w:ind w:left="8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5"/>
          </w:tcPr>
          <w:p>
            <w:pPr>
              <w:spacing w:after="0"/>
              <w:rPr>
                <w:sz w:val="20"/>
                <w:szCs w:val="20"/>
                <w:color w:val="auto"/>
              </w:rPr>
            </w:pPr>
            <w:r>
              <w:rPr>
                <w:rFonts w:ascii="Arial" w:cs="Arial" w:eastAsia="Arial" w:hAnsi="Arial"/>
                <w:sz w:val="20"/>
                <w:szCs w:val="20"/>
                <w:color w:val="0000FF"/>
                <w:w w:val="93"/>
              </w:rPr>
              <w:t>C/O BIOS EQUITY PARTNERS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5"/>
          </w:tcPr>
          <w:p>
            <w:pPr>
              <w:spacing w:after="0"/>
              <w:rPr>
                <w:sz w:val="20"/>
                <w:szCs w:val="20"/>
                <w:color w:val="auto"/>
              </w:rPr>
            </w:pPr>
            <w:r>
              <w:rPr>
                <w:rFonts w:ascii="Arial" w:cs="Arial" w:eastAsia="Arial" w:hAnsi="Arial"/>
                <w:sz w:val="20"/>
                <w:szCs w:val="20"/>
                <w:color w:val="0000FF"/>
              </w:rPr>
              <w:t>1751 RIVER RUN SUITE 400</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20"/>
                <w:szCs w:val="20"/>
                <w:color w:val="0000FF"/>
                <w:w w:val="94"/>
              </w:rPr>
              <w:t>FORT WORTH</w:t>
            </w:r>
          </w:p>
        </w:tc>
        <w:tc>
          <w:tcPr>
            <w:tcW w:w="1380" w:type="dxa"/>
            <w:vAlign w:val="bottom"/>
            <w:gridSpan w:val="4"/>
          </w:tcPr>
          <w:p>
            <w:pPr>
              <w:ind w:left="80"/>
              <w:spacing w:after="0"/>
              <w:rPr>
                <w:sz w:val="20"/>
                <w:szCs w:val="20"/>
                <w:color w:val="auto"/>
              </w:rPr>
            </w:pPr>
            <w:r>
              <w:rPr>
                <w:rFonts w:ascii="Arial" w:cs="Arial" w:eastAsia="Arial" w:hAnsi="Arial"/>
                <w:sz w:val="20"/>
                <w:szCs w:val="20"/>
                <w:color w:val="0000FF"/>
              </w:rPr>
              <w:t>TX</w:t>
            </w:r>
          </w:p>
        </w:tc>
        <w:tc>
          <w:tcPr>
            <w:tcW w:w="1440" w:type="dxa"/>
            <w:vAlign w:val="bottom"/>
          </w:tcPr>
          <w:p>
            <w:pPr>
              <w:ind w:left="100"/>
              <w:spacing w:after="0"/>
              <w:rPr>
                <w:sz w:val="20"/>
                <w:szCs w:val="20"/>
                <w:color w:val="auto"/>
              </w:rPr>
            </w:pPr>
            <w:r>
              <w:rPr>
                <w:rFonts w:ascii="Arial" w:cs="Arial" w:eastAsia="Arial" w:hAnsi="Arial"/>
                <w:sz w:val="20"/>
                <w:szCs w:val="20"/>
                <w:color w:val="0000FF"/>
              </w:rPr>
              <w:t>76107</w:t>
            </w:r>
          </w:p>
        </w:tc>
        <w:tc>
          <w:tcPr>
            <w:tcW w:w="120" w:type="dxa"/>
            <w:vAlign w:val="bottom"/>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4"/>
          </w:tcPr>
          <w:p>
            <w:pPr>
              <w:ind w:left="8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101"/>
        </w:trPr>
        <w:tc>
          <w:tcPr>
            <w:tcW w:w="20" w:type="dxa"/>
            <w:vAlign w:val="bottom"/>
            <w:tcBorders>
              <w:bottom w:val="single" w:sz="8" w:color="808080"/>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64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gridSpan w:val="3"/>
          </w:tcPr>
          <w:p>
            <w:pPr>
              <w:spacing w:after="0"/>
              <w:rPr>
                <w:sz w:val="8"/>
                <w:szCs w:val="8"/>
                <w:color w:val="auto"/>
              </w:rPr>
            </w:pPr>
          </w:p>
        </w:tc>
      </w:tr>
      <w:tr>
        <w:trPr>
          <w:trHeight w:val="306"/>
        </w:trPr>
        <w:tc>
          <w:tcPr>
            <w:tcW w:w="20" w:type="dxa"/>
            <w:vAlign w:val="bottom"/>
          </w:tcPr>
          <w:p>
            <w:pPr>
              <w:spacing w:after="0"/>
              <w:rPr>
                <w:sz w:val="24"/>
                <w:szCs w:val="24"/>
                <w:color w:val="auto"/>
              </w:rPr>
            </w:pPr>
          </w:p>
        </w:tc>
        <w:tc>
          <w:tcPr>
            <w:tcW w:w="4360" w:type="dxa"/>
            <w:vAlign w:val="bottom"/>
            <w:gridSpan w:val="9"/>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5"/>
          </w:tcPr>
          <w:p>
            <w:pPr>
              <w:spacing w:after="0" w:line="249" w:lineRule="exact"/>
              <w:rPr>
                <w:rFonts w:ascii="Arial" w:cs="Arial" w:eastAsia="Arial" w:hAnsi="Arial"/>
                <w:sz w:val="24"/>
                <w:szCs w:val="24"/>
                <w:color w:val="0000EE"/>
              </w:rPr>
            </w:pPr>
            <w:hyperlink r:id="rId16">
              <w:r>
                <w:rPr>
                  <w:rFonts w:ascii="Arial" w:cs="Arial" w:eastAsia="Arial" w:hAnsi="Arial"/>
                  <w:sz w:val="24"/>
                  <w:szCs w:val="24"/>
                  <w:color w:val="0000EE"/>
                </w:rPr>
                <w:t>BIOS Fund I QP, LP</w:t>
              </w:r>
            </w:hyperlink>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4"/>
          </w:tcPr>
          <w:p>
            <w:pPr>
              <w:ind w:left="8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5"/>
          </w:tcPr>
          <w:p>
            <w:pPr>
              <w:spacing w:after="0"/>
              <w:rPr>
                <w:sz w:val="20"/>
                <w:szCs w:val="20"/>
                <w:color w:val="auto"/>
              </w:rPr>
            </w:pPr>
            <w:r>
              <w:rPr>
                <w:rFonts w:ascii="Arial" w:cs="Arial" w:eastAsia="Arial" w:hAnsi="Arial"/>
                <w:sz w:val="20"/>
                <w:szCs w:val="20"/>
                <w:color w:val="0000FF"/>
                <w:w w:val="93"/>
              </w:rPr>
              <w:t>C/O BIOS EQUITY PARTNERS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5"/>
          </w:tcPr>
          <w:p>
            <w:pPr>
              <w:spacing w:after="0"/>
              <w:rPr>
                <w:sz w:val="20"/>
                <w:szCs w:val="20"/>
                <w:color w:val="auto"/>
              </w:rPr>
            </w:pPr>
            <w:r>
              <w:rPr>
                <w:rFonts w:ascii="Arial" w:cs="Arial" w:eastAsia="Arial" w:hAnsi="Arial"/>
                <w:sz w:val="20"/>
                <w:szCs w:val="20"/>
                <w:color w:val="0000FF"/>
              </w:rPr>
              <w:t>1751 RIVER RUN SUITE 400</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2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20"/>
                <w:szCs w:val="20"/>
                <w:color w:val="0000FF"/>
                <w:w w:val="94"/>
              </w:rPr>
              <w:t>FORT WORTH</w:t>
            </w:r>
          </w:p>
        </w:tc>
        <w:tc>
          <w:tcPr>
            <w:tcW w:w="1380" w:type="dxa"/>
            <w:vAlign w:val="bottom"/>
            <w:gridSpan w:val="4"/>
          </w:tcPr>
          <w:p>
            <w:pPr>
              <w:ind w:left="80"/>
              <w:spacing w:after="0"/>
              <w:rPr>
                <w:sz w:val="20"/>
                <w:szCs w:val="20"/>
                <w:color w:val="auto"/>
              </w:rPr>
            </w:pPr>
            <w:r>
              <w:rPr>
                <w:rFonts w:ascii="Arial" w:cs="Arial" w:eastAsia="Arial" w:hAnsi="Arial"/>
                <w:sz w:val="20"/>
                <w:szCs w:val="20"/>
                <w:color w:val="0000FF"/>
              </w:rPr>
              <w:t>TX</w:t>
            </w:r>
          </w:p>
        </w:tc>
        <w:tc>
          <w:tcPr>
            <w:tcW w:w="1440" w:type="dxa"/>
            <w:vAlign w:val="bottom"/>
          </w:tcPr>
          <w:p>
            <w:pPr>
              <w:ind w:left="100"/>
              <w:spacing w:after="0"/>
              <w:rPr>
                <w:sz w:val="20"/>
                <w:szCs w:val="20"/>
                <w:color w:val="auto"/>
              </w:rPr>
            </w:pPr>
            <w:r>
              <w:rPr>
                <w:rFonts w:ascii="Arial" w:cs="Arial" w:eastAsia="Arial" w:hAnsi="Arial"/>
                <w:sz w:val="20"/>
                <w:szCs w:val="20"/>
                <w:color w:val="0000FF"/>
              </w:rPr>
              <w:t>76107</w:t>
            </w:r>
          </w:p>
        </w:tc>
        <w:tc>
          <w:tcPr>
            <w:tcW w:w="120" w:type="dxa"/>
            <w:vAlign w:val="bottom"/>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4"/>
          </w:tcPr>
          <w:p>
            <w:pPr>
              <w:ind w:left="8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301625</wp:posOffset>
            </wp:positionH>
            <wp:positionV relativeFrom="page">
              <wp:posOffset>88900</wp:posOffset>
            </wp:positionV>
            <wp:extent cx="2788920"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2788920" cy="10520045"/>
                    </a:xfrm>
                    <a:prstGeom prst="rect">
                      <a:avLst/>
                    </a:prstGeom>
                    <a:noFill/>
                  </pic:spPr>
                </pic:pic>
              </a:graphicData>
            </a:graphic>
          </wp:anchor>
        </w:drawing>
      </w: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Bios Equity Partners, LP</w:t>
        </w:r>
      </w:hyperlink>
    </w:p>
    <w:p>
      <w:pPr>
        <w:sectPr>
          <w:pgSz w:w="11900" w:h="16838" w:orient="portrait"/>
          <w:cols w:equalWidth="0" w:num="1">
            <w:col w:w="9979"/>
          </w:cols>
          <w:pgMar w:left="480" w:top="120" w:right="1440" w:bottom="0" w:gutter="0" w:footer="0" w:header="0"/>
        </w:sectPr>
      </w:pPr>
    </w:p>
    <w:p>
      <w:pPr>
        <w:spacing w:after="0" w:line="347" w:lineRule="exact"/>
        <w:rPr>
          <w:sz w:val="20"/>
          <w:szCs w:val="20"/>
          <w:color w:val="auto"/>
        </w:rPr>
      </w:pPr>
    </w:p>
    <w:p>
      <w:pPr>
        <w:ind w:left="140"/>
        <w:spacing w:after="0"/>
        <w:tabs>
          <w:tab w:leader="none" w:pos="1500" w:val="left"/>
          <w:tab w:leader="none" w:pos="290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ectPr>
          <w:pgSz w:w="11900" w:h="16838" w:orient="portrait"/>
          <w:cols w:equalWidth="0" w:num="1">
            <w:col w:w="9979"/>
          </w:cols>
          <w:pgMar w:left="480" w:top="120" w:right="1440" w:bottom="0" w:gutter="0" w:footer="0" w:header="0"/>
          <w:type w:val="continuous"/>
        </w:sectPr>
      </w:pPr>
    </w:p>
    <w:bookmarkStart w:id="3" w:name="page4"/>
    <w:bookmarkEnd w:id="3"/>
    <w:p>
      <w:pPr>
        <w:ind w:left="120"/>
        <w:spacing w:after="0"/>
        <w:rPr>
          <w:sz w:val="20"/>
          <w:szCs w:val="20"/>
          <w:color w:val="auto"/>
        </w:rPr>
      </w:pPr>
      <w:r>
        <w:rPr>
          <w:rFonts w:ascii="Arial" w:cs="Arial" w:eastAsia="Arial" w:hAnsi="Arial"/>
          <w:sz w:val="20"/>
          <w:szCs w:val="20"/>
          <w:color w:val="0000FF"/>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9342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2798445" cy="9342120"/>
                    </a:xfrm>
                    <a:prstGeom prst="rect">
                      <a:avLst/>
                    </a:prstGeom>
                    <a:noFill/>
                  </pic:spPr>
                </pic:pic>
              </a:graphicData>
            </a:graphic>
          </wp:anchor>
        </w:drawing>
        <w:t>C/O BIOS EQUITY PARTNERS</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1751 RIVER RUN SUITE 400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20"/>
                <w:szCs w:val="20"/>
                <w:color w:val="0000FF"/>
                <w:w w:val="94"/>
              </w:rPr>
              <w:t>FORT WORTH</w:t>
            </w:r>
          </w:p>
        </w:tc>
        <w:tc>
          <w:tcPr>
            <w:tcW w:w="1380" w:type="dxa"/>
            <w:vAlign w:val="bottom"/>
            <w:gridSpan w:val="5"/>
          </w:tcPr>
          <w:p>
            <w:pPr>
              <w:ind w:left="80"/>
              <w:spacing w:after="0"/>
              <w:rPr>
                <w:sz w:val="20"/>
                <w:szCs w:val="20"/>
                <w:color w:val="auto"/>
              </w:rPr>
            </w:pPr>
            <w:r>
              <w:rPr>
                <w:rFonts w:ascii="Arial" w:cs="Arial" w:eastAsia="Arial" w:hAnsi="Arial"/>
                <w:sz w:val="20"/>
                <w:szCs w:val="20"/>
                <w:color w:val="0000FF"/>
              </w:rPr>
              <w:t>TX</w:t>
            </w:r>
          </w:p>
        </w:tc>
        <w:tc>
          <w:tcPr>
            <w:tcW w:w="1440" w:type="dxa"/>
            <w:vAlign w:val="bottom"/>
          </w:tcPr>
          <w:p>
            <w:pPr>
              <w:ind w:left="100"/>
              <w:spacing w:after="0"/>
              <w:rPr>
                <w:sz w:val="20"/>
                <w:szCs w:val="20"/>
                <w:color w:val="auto"/>
              </w:rPr>
            </w:pPr>
            <w:r>
              <w:rPr>
                <w:rFonts w:ascii="Arial" w:cs="Arial" w:eastAsia="Arial" w:hAnsi="Arial"/>
                <w:sz w:val="20"/>
                <w:szCs w:val="20"/>
                <w:color w:val="0000FF"/>
              </w:rPr>
              <w:t>76107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5"/>
          </w:tcPr>
          <w:p>
            <w:pPr>
              <w:ind w:left="8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60" w:type="dxa"/>
            <w:vAlign w:val="bottom"/>
            <w:gridSpan w:val="10"/>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6"/>
          </w:tcPr>
          <w:p>
            <w:pPr>
              <w:spacing w:after="0" w:line="249" w:lineRule="exact"/>
              <w:rPr>
                <w:rFonts w:ascii="Arial" w:cs="Arial" w:eastAsia="Arial" w:hAnsi="Arial"/>
                <w:sz w:val="24"/>
                <w:szCs w:val="24"/>
                <w:color w:val="0000EE"/>
              </w:rPr>
            </w:pPr>
            <w:hyperlink r:id="rId20">
              <w:r>
                <w:rPr>
                  <w:rFonts w:ascii="Arial" w:cs="Arial" w:eastAsia="Arial" w:hAnsi="Arial"/>
                  <w:sz w:val="24"/>
                  <w:szCs w:val="24"/>
                  <w:color w:val="0000EE"/>
                </w:rPr>
                <w:t>BIOS Fund II, LP</w:t>
              </w:r>
            </w:hyperlink>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420" w:type="dxa"/>
            <w:vAlign w:val="bottom"/>
            <w:tcBorders>
              <w:top w:val="single" w:sz="8" w:color="0000EE"/>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5"/>
          </w:tcPr>
          <w:p>
            <w:pPr>
              <w:ind w:left="8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20"/>
                <w:szCs w:val="20"/>
                <w:color w:val="0000FF"/>
                <w:w w:val="93"/>
              </w:rPr>
              <w:t>C/O BIOS EQUITY PARTNERS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20"/>
                <w:szCs w:val="20"/>
                <w:color w:val="0000FF"/>
              </w:rPr>
              <w:t>1751 RIVER RUN SUITE 400</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20"/>
                <w:szCs w:val="20"/>
                <w:color w:val="0000FF"/>
                <w:w w:val="94"/>
              </w:rPr>
              <w:t>FORT WORTH</w:t>
            </w:r>
          </w:p>
        </w:tc>
        <w:tc>
          <w:tcPr>
            <w:tcW w:w="1380" w:type="dxa"/>
            <w:vAlign w:val="bottom"/>
            <w:gridSpan w:val="5"/>
          </w:tcPr>
          <w:p>
            <w:pPr>
              <w:ind w:left="80"/>
              <w:spacing w:after="0"/>
              <w:rPr>
                <w:sz w:val="20"/>
                <w:szCs w:val="20"/>
                <w:color w:val="auto"/>
              </w:rPr>
            </w:pPr>
            <w:r>
              <w:rPr>
                <w:rFonts w:ascii="Arial" w:cs="Arial" w:eastAsia="Arial" w:hAnsi="Arial"/>
                <w:sz w:val="20"/>
                <w:szCs w:val="20"/>
                <w:color w:val="0000FF"/>
              </w:rPr>
              <w:t>TX</w:t>
            </w:r>
          </w:p>
        </w:tc>
        <w:tc>
          <w:tcPr>
            <w:tcW w:w="1440" w:type="dxa"/>
            <w:vAlign w:val="bottom"/>
          </w:tcPr>
          <w:p>
            <w:pPr>
              <w:ind w:left="100"/>
              <w:spacing w:after="0"/>
              <w:rPr>
                <w:sz w:val="20"/>
                <w:szCs w:val="20"/>
                <w:color w:val="auto"/>
              </w:rPr>
            </w:pPr>
            <w:r>
              <w:rPr>
                <w:rFonts w:ascii="Arial" w:cs="Arial" w:eastAsia="Arial" w:hAnsi="Arial"/>
                <w:sz w:val="20"/>
                <w:szCs w:val="20"/>
                <w:color w:val="0000FF"/>
              </w:rPr>
              <w:t>76107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5"/>
          </w:tcPr>
          <w:p>
            <w:pPr>
              <w:ind w:left="8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101"/>
        </w:trPr>
        <w:tc>
          <w:tcPr>
            <w:tcW w:w="12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gridSpan w:val="3"/>
          </w:tcPr>
          <w:p>
            <w:pPr>
              <w:spacing w:after="0"/>
              <w:rPr>
                <w:sz w:val="8"/>
                <w:szCs w:val="8"/>
                <w:color w:val="auto"/>
              </w:rPr>
            </w:pPr>
          </w:p>
        </w:tc>
      </w:tr>
      <w:tr>
        <w:trPr>
          <w:trHeight w:val="306"/>
        </w:trPr>
        <w:tc>
          <w:tcPr>
            <w:tcW w:w="4360" w:type="dxa"/>
            <w:vAlign w:val="bottom"/>
            <w:gridSpan w:val="10"/>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6"/>
          </w:tcPr>
          <w:p>
            <w:pPr>
              <w:spacing w:after="0" w:line="249" w:lineRule="exact"/>
              <w:rPr>
                <w:rFonts w:ascii="Arial" w:cs="Arial" w:eastAsia="Arial" w:hAnsi="Arial"/>
                <w:sz w:val="24"/>
                <w:szCs w:val="24"/>
                <w:color w:val="0000EE"/>
              </w:rPr>
            </w:pPr>
            <w:hyperlink r:id="rId21">
              <w:r>
                <w:rPr>
                  <w:rFonts w:ascii="Arial" w:cs="Arial" w:eastAsia="Arial" w:hAnsi="Arial"/>
                  <w:sz w:val="24"/>
                  <w:szCs w:val="24"/>
                  <w:color w:val="0000EE"/>
                </w:rPr>
                <w:t>BIOS Fund II NT, LP</w:t>
              </w:r>
            </w:hyperlink>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42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20" w:type="dxa"/>
            <w:vAlign w:val="bottom"/>
            <w:tcBorders>
              <w:top w:val="single" w:sz="8" w:color="0000EE"/>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5"/>
          </w:tcPr>
          <w:p>
            <w:pPr>
              <w:ind w:left="8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20"/>
                <w:szCs w:val="20"/>
                <w:color w:val="0000FF"/>
                <w:w w:val="93"/>
              </w:rPr>
              <w:t>C/O BIOS EQUITY PARTNERS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20"/>
                <w:szCs w:val="20"/>
                <w:color w:val="0000FF"/>
              </w:rPr>
              <w:t>1751 RIVER RUN SUITE 400</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20"/>
                <w:szCs w:val="20"/>
                <w:color w:val="0000FF"/>
                <w:w w:val="94"/>
              </w:rPr>
              <w:t>FORT WORTH</w:t>
            </w:r>
          </w:p>
        </w:tc>
        <w:tc>
          <w:tcPr>
            <w:tcW w:w="1380" w:type="dxa"/>
            <w:vAlign w:val="bottom"/>
            <w:gridSpan w:val="5"/>
          </w:tcPr>
          <w:p>
            <w:pPr>
              <w:ind w:left="80"/>
              <w:spacing w:after="0"/>
              <w:rPr>
                <w:sz w:val="20"/>
                <w:szCs w:val="20"/>
                <w:color w:val="auto"/>
              </w:rPr>
            </w:pPr>
            <w:r>
              <w:rPr>
                <w:rFonts w:ascii="Arial" w:cs="Arial" w:eastAsia="Arial" w:hAnsi="Arial"/>
                <w:sz w:val="20"/>
                <w:szCs w:val="20"/>
                <w:color w:val="0000FF"/>
              </w:rPr>
              <w:t>TX</w:t>
            </w:r>
          </w:p>
        </w:tc>
        <w:tc>
          <w:tcPr>
            <w:tcW w:w="1440" w:type="dxa"/>
            <w:vAlign w:val="bottom"/>
          </w:tcPr>
          <w:p>
            <w:pPr>
              <w:ind w:left="100"/>
              <w:spacing w:after="0"/>
              <w:rPr>
                <w:sz w:val="20"/>
                <w:szCs w:val="20"/>
                <w:color w:val="auto"/>
              </w:rPr>
            </w:pPr>
            <w:r>
              <w:rPr>
                <w:rFonts w:ascii="Arial" w:cs="Arial" w:eastAsia="Arial" w:hAnsi="Arial"/>
                <w:sz w:val="20"/>
                <w:szCs w:val="20"/>
                <w:color w:val="0000FF"/>
              </w:rPr>
              <w:t>76107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5"/>
          </w:tcPr>
          <w:p>
            <w:pPr>
              <w:ind w:left="8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101"/>
        </w:trPr>
        <w:tc>
          <w:tcPr>
            <w:tcW w:w="12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gridSpan w:val="3"/>
          </w:tcPr>
          <w:p>
            <w:pPr>
              <w:spacing w:after="0"/>
              <w:rPr>
                <w:sz w:val="8"/>
                <w:szCs w:val="8"/>
                <w:color w:val="auto"/>
              </w:rPr>
            </w:pPr>
          </w:p>
        </w:tc>
      </w:tr>
      <w:tr>
        <w:trPr>
          <w:trHeight w:val="291"/>
        </w:trPr>
        <w:tc>
          <w:tcPr>
            <w:tcW w:w="4360" w:type="dxa"/>
            <w:vAlign w:val="bottom"/>
            <w:gridSpan w:val="10"/>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6"/>
          </w:tcPr>
          <w:p>
            <w:pPr>
              <w:spacing w:after="0" w:line="249" w:lineRule="exact"/>
              <w:rPr>
                <w:rFonts w:ascii="Arial" w:cs="Arial" w:eastAsia="Arial" w:hAnsi="Arial"/>
                <w:sz w:val="24"/>
                <w:szCs w:val="24"/>
                <w:color w:val="0000EE"/>
              </w:rPr>
            </w:pPr>
            <w:hyperlink r:id="rId22">
              <w:r>
                <w:rPr>
                  <w:rFonts w:ascii="Arial" w:cs="Arial" w:eastAsia="Arial" w:hAnsi="Arial"/>
                  <w:sz w:val="24"/>
                  <w:szCs w:val="24"/>
                  <w:color w:val="0000EE"/>
                </w:rPr>
                <w:t>BIOS Fund II QP, LP</w:t>
              </w:r>
            </w:hyperlink>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42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5"/>
          </w:tcPr>
          <w:p>
            <w:pPr>
              <w:ind w:left="8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20"/>
                <w:szCs w:val="20"/>
                <w:color w:val="0000FF"/>
                <w:w w:val="93"/>
              </w:rPr>
              <w:t>C/O BIOS EQUITY PARTNERS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20"/>
                <w:szCs w:val="20"/>
                <w:color w:val="0000FF"/>
              </w:rPr>
              <w:t>1751 RIVER RUN SUITE 400</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20"/>
                <w:szCs w:val="20"/>
                <w:color w:val="0000FF"/>
                <w:w w:val="94"/>
              </w:rPr>
              <w:t>FORT WORTH</w:t>
            </w:r>
          </w:p>
        </w:tc>
        <w:tc>
          <w:tcPr>
            <w:tcW w:w="1380" w:type="dxa"/>
            <w:vAlign w:val="bottom"/>
            <w:gridSpan w:val="5"/>
          </w:tcPr>
          <w:p>
            <w:pPr>
              <w:ind w:left="80"/>
              <w:spacing w:after="0"/>
              <w:rPr>
                <w:sz w:val="20"/>
                <w:szCs w:val="20"/>
                <w:color w:val="auto"/>
              </w:rPr>
            </w:pPr>
            <w:r>
              <w:rPr>
                <w:rFonts w:ascii="Arial" w:cs="Arial" w:eastAsia="Arial" w:hAnsi="Arial"/>
                <w:sz w:val="20"/>
                <w:szCs w:val="20"/>
                <w:color w:val="0000FF"/>
              </w:rPr>
              <w:t>TX</w:t>
            </w:r>
          </w:p>
        </w:tc>
        <w:tc>
          <w:tcPr>
            <w:tcW w:w="1440" w:type="dxa"/>
            <w:vAlign w:val="bottom"/>
          </w:tcPr>
          <w:p>
            <w:pPr>
              <w:ind w:left="100"/>
              <w:spacing w:after="0"/>
              <w:rPr>
                <w:sz w:val="20"/>
                <w:szCs w:val="20"/>
                <w:color w:val="auto"/>
              </w:rPr>
            </w:pPr>
            <w:r>
              <w:rPr>
                <w:rFonts w:ascii="Arial" w:cs="Arial" w:eastAsia="Arial" w:hAnsi="Arial"/>
                <w:sz w:val="20"/>
                <w:szCs w:val="20"/>
                <w:color w:val="0000FF"/>
              </w:rPr>
              <w:t>76107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5"/>
          </w:tcPr>
          <w:p>
            <w:pPr>
              <w:ind w:left="8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r>
        <w:trPr>
          <w:trHeight w:val="101"/>
        </w:trPr>
        <w:tc>
          <w:tcPr>
            <w:tcW w:w="12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2"/>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gridSpan w:val="3"/>
          </w:tcPr>
          <w:p>
            <w:pPr>
              <w:spacing w:after="0"/>
              <w:rPr>
                <w:sz w:val="8"/>
                <w:szCs w:val="8"/>
                <w:color w:val="auto"/>
              </w:rPr>
            </w:pPr>
          </w:p>
        </w:tc>
      </w:tr>
      <w:tr>
        <w:trPr>
          <w:trHeight w:val="291"/>
        </w:trPr>
        <w:tc>
          <w:tcPr>
            <w:tcW w:w="4360" w:type="dxa"/>
            <w:vAlign w:val="bottom"/>
            <w:gridSpan w:val="10"/>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49"/>
        </w:trPr>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80" w:type="dxa"/>
            <w:vAlign w:val="bottom"/>
            <w:gridSpan w:val="6"/>
          </w:tcPr>
          <w:p>
            <w:pPr>
              <w:spacing w:after="0" w:line="249" w:lineRule="exact"/>
              <w:rPr>
                <w:rFonts w:ascii="Arial" w:cs="Arial" w:eastAsia="Arial" w:hAnsi="Arial"/>
                <w:sz w:val="24"/>
                <w:szCs w:val="24"/>
                <w:color w:val="0000EE"/>
                <w:w w:val="94"/>
              </w:rPr>
            </w:pPr>
            <w:hyperlink r:id="rId23">
              <w:r>
                <w:rPr>
                  <w:rFonts w:ascii="Arial" w:cs="Arial" w:eastAsia="Arial" w:hAnsi="Arial"/>
                  <w:sz w:val="24"/>
                  <w:szCs w:val="24"/>
                  <w:color w:val="0000EE"/>
                  <w:w w:val="94"/>
                </w:rPr>
                <w:t>Bios Equity Partners II, LP</w:t>
              </w:r>
            </w:hyperlink>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42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20" w:type="dxa"/>
            <w:vAlign w:val="bottom"/>
            <w:tcBorders>
              <w:top w:val="single" w:sz="8" w:color="0000EE"/>
              <w:bottom w:val="single" w:sz="8" w:color="9A9A9A"/>
            </w:tcBorders>
          </w:tcPr>
          <w:p>
            <w:pPr>
              <w:spacing w:after="0"/>
              <w:rPr>
                <w:sz w:val="17"/>
                <w:szCs w:val="17"/>
                <w:color w:val="auto"/>
              </w:rPr>
            </w:pPr>
          </w:p>
        </w:tc>
        <w:tc>
          <w:tcPr>
            <w:tcW w:w="52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4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(Last)</w:t>
            </w:r>
          </w:p>
        </w:tc>
        <w:tc>
          <w:tcPr>
            <w:tcW w:w="1380" w:type="dxa"/>
            <w:vAlign w:val="bottom"/>
            <w:gridSpan w:val="5"/>
          </w:tcPr>
          <w:p>
            <w:pPr>
              <w:ind w:left="80"/>
              <w:spacing w:after="0"/>
              <w:rPr>
                <w:sz w:val="20"/>
                <w:szCs w:val="20"/>
                <w:color w:val="auto"/>
              </w:rPr>
            </w:pPr>
            <w:r>
              <w:rPr>
                <w:rFonts w:ascii="Arial" w:cs="Arial" w:eastAsia="Arial" w:hAnsi="Arial"/>
                <w:sz w:val="15"/>
                <w:szCs w:val="15"/>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20"/>
                <w:szCs w:val="20"/>
                <w:color w:val="0000FF"/>
                <w:w w:val="93"/>
              </w:rPr>
              <w:t>C/O BIOS EQUITY PARTNERS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20"/>
                <w:szCs w:val="20"/>
                <w:color w:val="0000FF"/>
              </w:rPr>
              <w:t>1751 RIVER RUN SUITE 400</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4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20"/>
                <w:szCs w:val="20"/>
                <w:color w:val="0000FF"/>
                <w:w w:val="94"/>
              </w:rPr>
              <w:t>FORT WORTH</w:t>
            </w:r>
          </w:p>
        </w:tc>
        <w:tc>
          <w:tcPr>
            <w:tcW w:w="1380" w:type="dxa"/>
            <w:vAlign w:val="bottom"/>
            <w:gridSpan w:val="5"/>
          </w:tcPr>
          <w:p>
            <w:pPr>
              <w:ind w:left="80"/>
              <w:spacing w:after="0"/>
              <w:rPr>
                <w:sz w:val="20"/>
                <w:szCs w:val="20"/>
                <w:color w:val="auto"/>
              </w:rPr>
            </w:pPr>
            <w:r>
              <w:rPr>
                <w:rFonts w:ascii="Arial" w:cs="Arial" w:eastAsia="Arial" w:hAnsi="Arial"/>
                <w:sz w:val="20"/>
                <w:szCs w:val="20"/>
                <w:color w:val="0000FF"/>
              </w:rPr>
              <w:t>TX</w:t>
            </w:r>
          </w:p>
        </w:tc>
        <w:tc>
          <w:tcPr>
            <w:tcW w:w="1440" w:type="dxa"/>
            <w:vAlign w:val="bottom"/>
          </w:tcPr>
          <w:p>
            <w:pPr>
              <w:ind w:left="100"/>
              <w:spacing w:after="0"/>
              <w:rPr>
                <w:sz w:val="20"/>
                <w:szCs w:val="20"/>
                <w:color w:val="auto"/>
              </w:rPr>
            </w:pPr>
            <w:r>
              <w:rPr>
                <w:rFonts w:ascii="Arial" w:cs="Arial" w:eastAsia="Arial" w:hAnsi="Arial"/>
                <w:sz w:val="20"/>
                <w:szCs w:val="20"/>
                <w:color w:val="0000FF"/>
              </w:rPr>
              <w:t>76107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5"/>
                <w:szCs w:val="15"/>
                <w:color w:val="auto"/>
              </w:rPr>
              <w:t>(City)</w:t>
            </w:r>
          </w:p>
        </w:tc>
        <w:tc>
          <w:tcPr>
            <w:tcW w:w="1380" w:type="dxa"/>
            <w:vAlign w:val="bottom"/>
            <w:gridSpan w:val="5"/>
          </w:tcPr>
          <w:p>
            <w:pPr>
              <w:ind w:left="80"/>
              <w:spacing w:after="0"/>
              <w:rPr>
                <w:sz w:val="20"/>
                <w:szCs w:val="20"/>
                <w:color w:val="auto"/>
              </w:rPr>
            </w:pPr>
            <w:r>
              <w:rPr>
                <w:rFonts w:ascii="Arial" w:cs="Arial" w:eastAsia="Arial" w:hAnsi="Arial"/>
                <w:sz w:val="15"/>
                <w:szCs w:val="15"/>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20" w:firstLine="5"/>
        <w:spacing w:after="0" w:line="238" w:lineRule="auto"/>
        <w:tabs>
          <w:tab w:leader="none" w:pos="17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Reflects a convertible note that is convertible into shares of common stock of the Issuer. The principal amount of the convertible note together with accrued interest will be automatically converted into shares of common stock of the Issuer upon the closing of the Issuer's initial public offering ("IPO") at a conversion price equal to the lesser of: (i) $30 million divided by the number of shares of the Issuer's common stock issued and outstanding, on a fully diluted basis, immediately prior to the close of the IPO or (ii) 50% of the price per share issued in connection with the IPO.</w:t>
      </w:r>
    </w:p>
    <w:p>
      <w:pPr>
        <w:spacing w:after="0" w:line="36" w:lineRule="exact"/>
        <w:rPr>
          <w:rFonts w:ascii="Arial" w:cs="Arial" w:eastAsia="Arial" w:hAnsi="Arial"/>
          <w:sz w:val="15"/>
          <w:szCs w:val="15"/>
          <w:color w:val="008000"/>
        </w:rPr>
      </w:pPr>
    </w:p>
    <w:p>
      <w:pPr>
        <w:ind w:left="20" w:right="420" w:firstLine="5"/>
        <w:spacing w:after="0" w:line="253" w:lineRule="auto"/>
        <w:tabs>
          <w:tab w:leader="none" w:pos="167"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The number of shares represented reflects a forward stock split at a ratio of 7.1-for-1 which was effectuated upon the effectiveness of the Issuer's Form S-1 (File No. 333-269876).</w:t>
      </w:r>
    </w:p>
    <w:p>
      <w:pPr>
        <w:spacing w:after="0" w:line="26" w:lineRule="exact"/>
        <w:rPr>
          <w:rFonts w:ascii="Arial" w:cs="Arial" w:eastAsia="Arial" w:hAnsi="Arial"/>
          <w:sz w:val="15"/>
          <w:szCs w:val="15"/>
          <w:color w:val="008000"/>
        </w:rPr>
      </w:pPr>
    </w:p>
    <w:p>
      <w:pPr>
        <w:ind w:left="20" w:right="60" w:firstLine="5"/>
        <w:spacing w:after="0" w:line="288" w:lineRule="auto"/>
        <w:tabs>
          <w:tab w:leader="none" w:pos="17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Bios Equity Partners, LP ("Bios Equity I") is the general partner of the following entities: Bios Fund I, LP ("Bios Fund I") and Bios Fund I QP, LP ("Bios Fund I QP"). Bios Equity Partners II, LP ("Bios Equity II") is the general partner of Bios Fund II, LP ("Bios Fund II"), Bios Fund II QP, LP ("Bios Fund II QP"), Bios Fund II NT, LP ("Bios Fund II</w:t>
      </w:r>
    </w:p>
    <w:p>
      <w:pPr>
        <w:sectPr>
          <w:pgSz w:w="11900" w:h="16838" w:orient="portrait"/>
          <w:cols w:equalWidth="0" w:num="1">
            <w:col w:w="10780"/>
          </w:cols>
          <w:pgMar w:left="500" w:top="175" w:right="619" w:bottom="0" w:gutter="0" w:footer="0" w:header="0"/>
        </w:sectPr>
      </w:pPr>
    </w:p>
    <w:bookmarkStart w:id="4" w:name="page5"/>
    <w:bookmarkEnd w:id="4"/>
    <w:p>
      <w:pPr>
        <w:ind w:right="200"/>
        <w:spacing w:after="0" w:line="253" w:lineRule="auto"/>
        <w:rPr>
          <w:sz w:val="20"/>
          <w:szCs w:val="20"/>
          <w:color w:val="auto"/>
        </w:rPr>
      </w:pPr>
      <w:r>
        <w:rPr>
          <w:rFonts w:ascii="Arial" w:cs="Arial" w:eastAsia="Arial" w:hAnsi="Arial"/>
          <w:sz w:val="15"/>
          <w:szCs w:val="15"/>
          <w:color w:val="008000"/>
        </w:rPr>
        <w:t>NT") and Bios Azitra Co-invest I, LP ("Bios Azitra Co-invest"). Bios Equity Partners III, LP ("Bios Equity III") is the general partner of the following entities: Bios Fund III, LP ("Bios Fund III"), Bios Fund III QP, LP ("Bios Fund III QP") and Bios Fund III NT, LP ("Bios Fund III NT").</w:t>
      </w:r>
    </w:p>
    <w:p>
      <w:pPr>
        <w:spacing w:after="0" w:line="27" w:lineRule="exact"/>
        <w:rPr>
          <w:sz w:val="20"/>
          <w:szCs w:val="20"/>
          <w:color w:val="auto"/>
        </w:rPr>
      </w:pPr>
    </w:p>
    <w:p>
      <w:pPr>
        <w:ind w:right="60" w:firstLine="5"/>
        <w:spacing w:after="0" w:line="235" w:lineRule="auto"/>
        <w:tabs>
          <w:tab w:leader="none" w:pos="150" w:val="left"/>
        </w:tabs>
        <w:numPr>
          <w:ilvl w:val="0"/>
          <w:numId w:val="2"/>
        </w:numPr>
        <w:rPr>
          <w:rFonts w:ascii="Arial" w:cs="Arial" w:eastAsia="Arial" w:hAnsi="Arial"/>
          <w:sz w:val="15"/>
          <w:szCs w:val="15"/>
          <w:color w:val="008000"/>
        </w:rPr>
      </w:pPr>
      <w:r>
        <w:rPr>
          <w:rFonts w:ascii="Arial" w:cs="Arial" w:eastAsia="Arial" w:hAnsi="Arial"/>
          <w:sz w:val="15"/>
          <w:szCs w:val="15"/>
          <w:color w:val="008000"/>
        </w:rPr>
        <w:t>Cavu Management, LP, an entity managed and controlled by Mr. Les Kreis, and Bios Capital Management, LP, an entity managed and controlled by Mr. Aaron Fletcher, are the general partners of Bios Equity I, Bios Equity II and Bios Equity III. Cavu Advisors LLC, an entity that is managed and controlled by Mr. Kreis, is the general partner of Cavu Management LP. Bios Advisors GP, LLC, an entity that is managed and controlled by Mr. Fletcher, is the general partner of Bios Capital Management, LP. The shares owned by Bios Fund I, Bios Fund I QP, Bios Fund II, Bios Fund II QP, Bios Fund II NT, Bios Fund III, Bios Fund III QP, Bios Fund III NT and Bios Azitra Co-invest (collectively, the "Bios Equity Entities") are aggregated for purposes of reporting share ownership information. Mr. Kreis and Mr. Fletcher share voting and investment control with respect to shares held by the Bios Equity Entities.</w:t>
      </w:r>
    </w:p>
    <w:p>
      <w:pPr>
        <w:spacing w:after="0" w:line="37" w:lineRule="exact"/>
        <w:rPr>
          <w:rFonts w:ascii="Arial" w:cs="Arial" w:eastAsia="Arial" w:hAnsi="Arial"/>
          <w:sz w:val="15"/>
          <w:szCs w:val="15"/>
          <w:color w:val="008000"/>
        </w:rPr>
      </w:pPr>
    </w:p>
    <w:p>
      <w:pPr>
        <w:ind w:right="20" w:firstLine="5"/>
        <w:spacing w:after="0" w:line="253" w:lineRule="auto"/>
        <w:tabs>
          <w:tab w:leader="none" w:pos="150" w:val="left"/>
        </w:tabs>
        <w:numPr>
          <w:ilvl w:val="0"/>
          <w:numId w:val="2"/>
        </w:numPr>
        <w:rPr>
          <w:rFonts w:ascii="Arial" w:cs="Arial" w:eastAsia="Arial" w:hAnsi="Arial"/>
          <w:sz w:val="15"/>
          <w:szCs w:val="15"/>
          <w:color w:val="008000"/>
        </w:rPr>
      </w:pPr>
      <w:r>
        <w:rPr>
          <w:rFonts w:ascii="Arial" w:cs="Arial" w:eastAsia="Arial" w:hAnsi="Arial"/>
          <w:sz w:val="15"/>
          <w:szCs w:val="15"/>
          <w:color w:val="008000"/>
        </w:rPr>
        <w:t>Each share of Series A Convertible Preferred Stock preferred stock will automatically convert into one share of common stock upon the closing of the Issuer's IPO. Each share of Series A Convertible Preferred Stock has no expiration date.</w:t>
      </w:r>
    </w:p>
    <w:p>
      <w:pPr>
        <w:spacing w:after="0" w:line="26" w:lineRule="exact"/>
        <w:rPr>
          <w:rFonts w:ascii="Arial" w:cs="Arial" w:eastAsia="Arial" w:hAnsi="Arial"/>
          <w:sz w:val="15"/>
          <w:szCs w:val="15"/>
          <w:color w:val="008000"/>
        </w:rPr>
      </w:pPr>
    </w:p>
    <w:p>
      <w:pPr>
        <w:ind w:right="40" w:firstLine="5"/>
        <w:spacing w:after="0" w:line="253" w:lineRule="auto"/>
        <w:tabs>
          <w:tab w:leader="none" w:pos="150" w:val="left"/>
        </w:tabs>
        <w:numPr>
          <w:ilvl w:val="0"/>
          <w:numId w:val="2"/>
        </w:numPr>
        <w:rPr>
          <w:rFonts w:ascii="Arial" w:cs="Arial" w:eastAsia="Arial" w:hAnsi="Arial"/>
          <w:sz w:val="15"/>
          <w:szCs w:val="15"/>
          <w:color w:val="008000"/>
        </w:rPr>
      </w:pPr>
      <w:r>
        <w:rPr>
          <w:rFonts w:ascii="Arial" w:cs="Arial" w:eastAsia="Arial" w:hAnsi="Arial"/>
          <w:sz w:val="15"/>
          <w:szCs w:val="15"/>
          <w:color w:val="008000"/>
        </w:rPr>
        <w:t>Each share of Series A-1 Convertible Preferred Stock preferred stock will automatically convert into one share of common stock upon the closing of the Issuer's IPO. Each share of Series A-1 Convertible Preferred Stock has no expiration date.</w:t>
      </w:r>
    </w:p>
    <w:p>
      <w:pPr>
        <w:spacing w:after="0" w:line="26" w:lineRule="exact"/>
        <w:rPr>
          <w:rFonts w:ascii="Arial" w:cs="Arial" w:eastAsia="Arial" w:hAnsi="Arial"/>
          <w:sz w:val="15"/>
          <w:szCs w:val="15"/>
          <w:color w:val="008000"/>
        </w:rPr>
      </w:pPr>
    </w:p>
    <w:p>
      <w:pPr>
        <w:ind w:firstLine="5"/>
        <w:spacing w:after="0" w:line="253" w:lineRule="auto"/>
        <w:tabs>
          <w:tab w:leader="none" w:pos="150" w:val="left"/>
        </w:tabs>
        <w:numPr>
          <w:ilvl w:val="0"/>
          <w:numId w:val="2"/>
        </w:numPr>
        <w:rPr>
          <w:rFonts w:ascii="Arial" w:cs="Arial" w:eastAsia="Arial" w:hAnsi="Arial"/>
          <w:sz w:val="15"/>
          <w:szCs w:val="15"/>
          <w:color w:val="008000"/>
        </w:rPr>
      </w:pPr>
      <w:r>
        <w:rPr>
          <w:rFonts w:ascii="Arial" w:cs="Arial" w:eastAsia="Arial" w:hAnsi="Arial"/>
          <w:sz w:val="15"/>
          <w:szCs w:val="15"/>
          <w:color w:val="008000"/>
        </w:rPr>
        <w:t>Each share of Series B Convertible Preferred Stock preferred stock will automatically convert into one share of common stock upon the closing of the Issuer's IPO. Each share of Series B Convertible Preferred Stock has no expiration date.</w:t>
      </w:r>
    </w:p>
    <w:p>
      <w:pPr>
        <w:spacing w:after="0" w:line="26" w:lineRule="exact"/>
        <w:rPr>
          <w:rFonts w:ascii="Arial" w:cs="Arial" w:eastAsia="Arial" w:hAnsi="Arial"/>
          <w:sz w:val="15"/>
          <w:szCs w:val="15"/>
          <w:color w:val="008000"/>
        </w:rPr>
      </w:pPr>
    </w:p>
    <w:p>
      <w:pPr>
        <w:ind w:right="140" w:firstLine="5"/>
        <w:spacing w:after="0" w:line="253" w:lineRule="auto"/>
        <w:tabs>
          <w:tab w:leader="none" w:pos="147" w:val="left"/>
        </w:tabs>
        <w:numPr>
          <w:ilvl w:val="0"/>
          <w:numId w:val="2"/>
        </w:numPr>
        <w:rPr>
          <w:rFonts w:ascii="Arial" w:cs="Arial" w:eastAsia="Arial" w:hAnsi="Arial"/>
          <w:sz w:val="15"/>
          <w:szCs w:val="15"/>
          <w:color w:val="008000"/>
        </w:rPr>
      </w:pPr>
      <w:r>
        <w:rPr>
          <w:rFonts w:ascii="Arial" w:cs="Arial" w:eastAsia="Arial" w:hAnsi="Arial"/>
          <w:sz w:val="15"/>
          <w:szCs w:val="15"/>
          <w:color w:val="008000"/>
        </w:rPr>
        <w:t>The exercise price of the warrants reflects adjustment for a forward stock split at a ratio of 7.1-for-1 which was effectuated upon the effectiveness of the Issuer's Form S-1 (File No. 333-269876).</w:t>
      </w:r>
    </w:p>
    <w:p>
      <w:pPr>
        <w:spacing w:after="0" w:line="26" w:lineRule="exact"/>
        <w:rPr>
          <w:rFonts w:ascii="Arial" w:cs="Arial" w:eastAsia="Arial" w:hAnsi="Arial"/>
          <w:sz w:val="15"/>
          <w:szCs w:val="15"/>
          <w:color w:val="008000"/>
        </w:rPr>
      </w:pPr>
    </w:p>
    <w:p>
      <w:pPr>
        <w:ind w:left="160" w:hanging="155"/>
        <w:spacing w:after="0"/>
        <w:tabs>
          <w:tab w:leader="none" w:pos="160" w:val="left"/>
        </w:tabs>
        <w:numPr>
          <w:ilvl w:val="0"/>
          <w:numId w:val="2"/>
        </w:numPr>
        <w:rPr>
          <w:rFonts w:ascii="Arial" w:cs="Arial" w:eastAsia="Arial" w:hAnsi="Arial"/>
          <w:sz w:val="15"/>
          <w:szCs w:val="15"/>
          <w:color w:val="008000"/>
        </w:rPr>
      </w:pPr>
      <w:r>
        <w:rPr>
          <w:rFonts w:ascii="Arial" w:cs="Arial" w:eastAsia="Arial" w:hAnsi="Arial"/>
          <w:sz w:val="15"/>
          <w:szCs w:val="15"/>
          <w:color w:val="008000"/>
        </w:rPr>
        <w:t>The warrants expire upon the earlier of: (i) February 22, 2026 or (ii) the consummation of a sale of the Issuer.</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008000"/>
        </w:rPr>
        <w:t>This Form 3 is the first of two Forms 3 filed relating to the same event. The Form 3 has been split into two filings because there are more than 10 reporting persons in total, and the SEC's EDGAR filing system limits a single Form 3 to a maximum of 10 reporting persons. The second Form 3 was filed by Aaron G.L. Fletcher as the designated filer.</w:t>
      </w:r>
    </w:p>
    <w:p>
      <w:pPr>
        <w:sectPr>
          <w:pgSz w:w="11900" w:h="16838" w:orient="portrait"/>
          <w:cols w:equalWidth="0" w:num="1">
            <w:col w:w="10820"/>
          </w:cols>
          <w:pgMar w:left="520" w:top="129" w:right="559" w:bottom="0" w:gutter="0" w:footer="0" w:header="0"/>
        </w:sectPr>
      </w:pPr>
    </w:p>
    <w:p>
      <w:pPr>
        <w:spacing w:after="0" w:line="35" w:lineRule="exact"/>
        <w:rPr>
          <w:sz w:val="20"/>
          <w:szCs w:val="20"/>
          <w:color w:val="auto"/>
        </w:rPr>
      </w:pPr>
    </w:p>
    <w:p>
      <w:pPr>
        <w:ind w:left="6520"/>
        <w:spacing w:after="0"/>
        <w:rPr>
          <w:sz w:val="20"/>
          <w:szCs w:val="20"/>
          <w:color w:val="auto"/>
        </w:rPr>
      </w:pPr>
      <w:r>
        <w:rPr>
          <w:rFonts w:ascii="Arial" w:cs="Arial" w:eastAsia="Arial" w:hAnsi="Arial"/>
          <w:sz w:val="20"/>
          <w:szCs w:val="20"/>
          <w:color w:val="0000FF"/>
        </w:rPr>
        <w:t>/s/ Leslie W.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-15240</wp:posOffset>
            </wp:positionV>
            <wp:extent cx="1066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spacing w:after="0" w:line="50" w:lineRule="exact"/>
        <w:rPr>
          <w:sz w:val="20"/>
          <w:szCs w:val="20"/>
          <w:color w:val="auto"/>
        </w:rPr>
      </w:pPr>
    </w:p>
    <w:p>
      <w:pPr>
        <w:ind w:left="6520"/>
        <w:spacing w:after="0"/>
        <w:rPr>
          <w:sz w:val="20"/>
          <w:szCs w:val="20"/>
          <w:color w:val="auto"/>
        </w:rPr>
      </w:pPr>
      <w:r>
        <w:rPr>
          <w:rFonts w:ascii="Arial" w:cs="Arial" w:eastAsia="Arial" w:hAnsi="Arial"/>
          <w:sz w:val="20"/>
          <w:szCs w:val="20"/>
          <w:color w:val="0000FF"/>
        </w:rPr>
        <w:t>Cavu Advisors,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-15240</wp:posOffset>
            </wp:positionV>
            <wp:extent cx="123888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1238885"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/s/ Leslie W.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12204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122045"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44005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440055" cy="9525"/>
                    </a:xfrm>
                    <a:prstGeom prst="rect">
                      <a:avLst/>
                    </a:prstGeom>
                    <a:noFill/>
                  </pic:spPr>
                </pic:pic>
              </a:graphicData>
            </a:graphic>
          </wp:anchor>
        </w:drawing>
      </w:r>
    </w:p>
    <w:p>
      <w:pPr>
        <w:spacing w:after="0" w:line="42" w:lineRule="exact"/>
        <w:rPr>
          <w:sz w:val="20"/>
          <w:szCs w:val="20"/>
          <w:color w:val="auto"/>
        </w:rPr>
      </w:pPr>
    </w:p>
    <w:p>
      <w:pPr>
        <w:ind w:left="6520"/>
        <w:spacing w:after="0"/>
        <w:rPr>
          <w:sz w:val="20"/>
          <w:szCs w:val="20"/>
          <w:color w:val="auto"/>
        </w:rPr>
      </w:pPr>
      <w:r>
        <w:rPr>
          <w:rFonts w:ascii="Arial" w:cs="Arial" w:eastAsia="Arial" w:hAnsi="Arial"/>
          <w:sz w:val="17"/>
          <w:szCs w:val="17"/>
          <w:color w:val="0000FF"/>
        </w:rPr>
        <w:t>Cavu 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5715</wp:posOffset>
            </wp:positionV>
            <wp:extent cx="135128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351280" cy="9525"/>
                    </a:xfrm>
                    <a:prstGeom prst="rect">
                      <a:avLst/>
                    </a:prstGeom>
                    <a:noFill/>
                  </pic:spPr>
                </pic:pic>
              </a:graphicData>
            </a:graphic>
          </wp:anchor>
        </w:drawing>
      </w:r>
    </w:p>
    <w:p>
      <w:pPr>
        <w:spacing w:after="0" w:line="32" w:lineRule="exact"/>
        <w:rPr>
          <w:sz w:val="20"/>
          <w:szCs w:val="20"/>
          <w:color w:val="auto"/>
        </w:rPr>
      </w:pPr>
    </w:p>
    <w:p>
      <w:pPr>
        <w:ind w:left="6520"/>
        <w:spacing w:after="0"/>
        <w:rPr>
          <w:sz w:val="20"/>
          <w:szCs w:val="20"/>
          <w:color w:val="auto"/>
        </w:rPr>
      </w:pPr>
      <w:r>
        <w:rPr>
          <w:rFonts w:ascii="Arial" w:cs="Arial" w:eastAsia="Arial" w:hAnsi="Arial"/>
          <w:sz w:val="20"/>
          <w:szCs w:val="20"/>
          <w:color w:val="0000FF"/>
        </w:rPr>
        <w:t>Cavu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20777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10426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04265"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Leslie W.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97345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973455"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44005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440055" cy="9525"/>
                    </a:xfrm>
                    <a:prstGeom prst="rect">
                      <a:avLst/>
                    </a:prstGeom>
                    <a:noFill/>
                  </pic:spPr>
                </pic:pic>
              </a:graphicData>
            </a:graphic>
          </wp:anchor>
        </w:drawing>
      </w:r>
    </w:p>
    <w:p>
      <w:pPr>
        <w:spacing w:after="0" w:line="42" w:lineRule="exact"/>
        <w:rPr>
          <w:sz w:val="20"/>
          <w:szCs w:val="20"/>
          <w:color w:val="auto"/>
        </w:rPr>
      </w:pPr>
    </w:p>
    <w:p>
      <w:pPr>
        <w:ind w:left="6520"/>
        <w:spacing w:after="0"/>
        <w:rPr>
          <w:sz w:val="20"/>
          <w:szCs w:val="20"/>
          <w:color w:val="auto"/>
        </w:rPr>
      </w:pPr>
      <w:r>
        <w:rPr>
          <w:rFonts w:ascii="Arial" w:cs="Arial" w:eastAsia="Arial" w:hAnsi="Arial"/>
          <w:sz w:val="18"/>
          <w:szCs w:val="18"/>
          <w:color w:val="0000FF"/>
        </w:rPr>
        <w:t>Bios Fund I, LP By: Bios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-635</wp:posOffset>
            </wp:positionV>
            <wp:extent cx="125539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55395" cy="9525"/>
                    </a:xfrm>
                    <a:prstGeom prst="rect">
                      <a:avLst/>
                    </a:prstGeom>
                    <a:noFill/>
                  </pic:spPr>
                </pic:pic>
              </a:graphicData>
            </a:graphic>
          </wp:anchor>
        </w:drawing>
      </w:r>
    </w:p>
    <w:p>
      <w:pPr>
        <w:spacing w:after="0" w:line="21" w:lineRule="exact"/>
        <w:rPr>
          <w:sz w:val="20"/>
          <w:szCs w:val="20"/>
          <w:color w:val="auto"/>
        </w:rPr>
      </w:pPr>
    </w:p>
    <w:p>
      <w:pPr>
        <w:ind w:left="6520"/>
        <w:spacing w:after="0"/>
        <w:rPr>
          <w:sz w:val="20"/>
          <w:szCs w:val="20"/>
          <w:color w:val="auto"/>
        </w:rPr>
      </w:pPr>
      <w:r>
        <w:rPr>
          <w:rFonts w:ascii="Arial" w:cs="Arial" w:eastAsia="Arial" w:hAnsi="Arial"/>
          <w:sz w:val="20"/>
          <w:szCs w:val="20"/>
          <w:color w:val="0000FF"/>
        </w:rPr>
        <w:t>Equity Partners,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139190"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139190"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8"/>
          <w:szCs w:val="18"/>
          <w:color w:val="0000FF"/>
        </w:rPr>
        <w:t>general partner By: Cavu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-5715</wp:posOffset>
            </wp:positionV>
            <wp:extent cx="124904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20"/>
          <w:szCs w:val="20"/>
          <w:color w:val="0000FF"/>
        </w:rPr>
        <w:t>Management,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01854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018540"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8"/>
          <w:szCs w:val="18"/>
          <w:color w:val="0000FF"/>
        </w:rPr>
        <w:t>general partner By: Cavu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-5715</wp:posOffset>
            </wp:positionV>
            <wp:extent cx="124904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18"/>
          <w:szCs w:val="18"/>
          <w:color w:val="0000FF"/>
        </w:rPr>
        <w:t>Advisors,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-5715</wp:posOffset>
            </wp:positionV>
            <wp:extent cx="131762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20"/>
          <w:szCs w:val="20"/>
          <w:color w:val="0000FF"/>
        </w:rPr>
        <w:t>partner By: /s/ Leslie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207770"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Kreis, Jr.,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94615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20"/>
        <w:spacing w:after="0"/>
        <w:rPr>
          <w:sz w:val="20"/>
          <w:szCs w:val="20"/>
          <w:color w:val="auto"/>
        </w:rPr>
      </w:pPr>
      <w:r>
        <w:rPr>
          <w:rFonts w:ascii="Arial" w:cs="Arial" w:eastAsia="Arial" w:hAnsi="Arial"/>
          <w:sz w:val="20"/>
          <w:szCs w:val="20"/>
          <w:color w:val="0000FF"/>
        </w:rPr>
        <w:t>Bios Fund I QP,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-15240</wp:posOffset>
            </wp:positionV>
            <wp:extent cx="117284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172845"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8"/>
          <w:szCs w:val="18"/>
          <w:color w:val="0000FF"/>
        </w:rPr>
        <w:t>Bios Equity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-5715</wp:posOffset>
            </wp:positionV>
            <wp:extent cx="124904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20"/>
          <w:szCs w:val="20"/>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10426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104265"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8"/>
          <w:szCs w:val="18"/>
          <w:color w:val="0000FF"/>
        </w:rPr>
        <w:t>Cavu Management,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-5715</wp:posOffset>
            </wp:positionV>
            <wp:extent cx="131127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311275" cy="9525"/>
                    </a:xfrm>
                    <a:prstGeom prst="rect">
                      <a:avLst/>
                    </a:prstGeom>
                    <a:noFill/>
                  </pic:spPr>
                </pic:pic>
              </a:graphicData>
            </a:graphic>
          </wp:anchor>
        </w:drawing>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18"/>
          <w:szCs w:val="18"/>
          <w:color w:val="0000FF"/>
        </w:rPr>
        <w:t>general partner By: Cavu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-5715</wp:posOffset>
            </wp:positionV>
            <wp:extent cx="124904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18"/>
          <w:szCs w:val="18"/>
          <w:color w:val="0000FF"/>
        </w:rPr>
        <w:t>Advisors,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-5715</wp:posOffset>
            </wp:positionV>
            <wp:extent cx="131762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20"/>
          <w:szCs w:val="20"/>
          <w:color w:val="0000FF"/>
        </w:rPr>
        <w:t>partner By: /s/ Leslie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207770"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Kreis, Jr.,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946150"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20"/>
        <w:spacing w:after="0"/>
        <w:rPr>
          <w:sz w:val="20"/>
          <w:szCs w:val="20"/>
          <w:color w:val="auto"/>
        </w:rPr>
      </w:pPr>
      <w:r>
        <w:rPr>
          <w:rFonts w:ascii="Arial" w:cs="Arial" w:eastAsia="Arial" w:hAnsi="Arial"/>
          <w:sz w:val="18"/>
          <w:szCs w:val="18"/>
          <w:color w:val="0000FF"/>
        </w:rPr>
        <w:t>Bios Equity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-635</wp:posOffset>
            </wp:positionV>
            <wp:extent cx="1231900"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231900" cy="9525"/>
                    </a:xfrm>
                    <a:prstGeom prst="rect">
                      <a:avLst/>
                    </a:prstGeom>
                    <a:noFill/>
                  </pic:spPr>
                </pic:pic>
              </a:graphicData>
            </a:graphic>
          </wp:anchor>
        </w:drawing>
      </w:r>
    </w:p>
    <w:p>
      <w:pPr>
        <w:spacing w:after="0" w:line="21" w:lineRule="exact"/>
        <w:rPr>
          <w:sz w:val="20"/>
          <w:szCs w:val="20"/>
          <w:color w:val="auto"/>
        </w:rPr>
      </w:pPr>
    </w:p>
    <w:p>
      <w:pPr>
        <w:ind w:left="6520"/>
        <w:spacing w:after="0"/>
        <w:rPr>
          <w:sz w:val="20"/>
          <w:szCs w:val="20"/>
          <w:color w:val="auto"/>
        </w:rPr>
      </w:pPr>
      <w:r>
        <w:rPr>
          <w:rFonts w:ascii="Arial" w:cs="Arial" w:eastAsia="Arial" w:hAnsi="Arial"/>
          <w:sz w:val="20"/>
          <w:szCs w:val="20"/>
          <w:color w:val="0000FF"/>
        </w:rPr>
        <w:t>By: Cavu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17983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179830"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8"/>
          <w:szCs w:val="18"/>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-5715</wp:posOffset>
            </wp:positionV>
            <wp:extent cx="129730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20"/>
          <w:szCs w:val="20"/>
          <w:color w:val="0000FF"/>
        </w:rPr>
        <w:t>Cavu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207770"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10426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104265"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Leslie W.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97345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973455"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44005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440055" cy="9525"/>
                    </a:xfrm>
                    <a:prstGeom prst="rect">
                      <a:avLst/>
                    </a:prstGeom>
                    <a:noFill/>
                  </pic:spPr>
                </pic:pic>
              </a:graphicData>
            </a:graphic>
          </wp:anchor>
        </w:drawing>
      </w:r>
    </w:p>
    <w:p>
      <w:pPr>
        <w:spacing w:after="0" w:line="42" w:lineRule="exact"/>
        <w:rPr>
          <w:sz w:val="20"/>
          <w:szCs w:val="20"/>
          <w:color w:val="auto"/>
        </w:rPr>
      </w:pPr>
    </w:p>
    <w:p>
      <w:pPr>
        <w:ind w:left="6520"/>
        <w:spacing w:after="0"/>
        <w:rPr>
          <w:sz w:val="20"/>
          <w:szCs w:val="20"/>
          <w:color w:val="auto"/>
        </w:rPr>
      </w:pPr>
      <w:r>
        <w:rPr>
          <w:rFonts w:ascii="Arial" w:cs="Arial" w:eastAsia="Arial" w:hAnsi="Arial"/>
          <w:sz w:val="18"/>
          <w:szCs w:val="18"/>
          <w:color w:val="0000FF"/>
        </w:rPr>
        <w:t>Bios Fund II, LP By: Bios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-635</wp:posOffset>
            </wp:positionV>
            <wp:extent cx="129667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96670" cy="9525"/>
                    </a:xfrm>
                    <a:prstGeom prst="rect">
                      <a:avLst/>
                    </a:prstGeom>
                    <a:noFill/>
                  </pic:spPr>
                </pic:pic>
              </a:graphicData>
            </a:graphic>
          </wp:anchor>
        </w:drawing>
      </w:r>
    </w:p>
    <w:p>
      <w:pPr>
        <w:spacing w:after="0" w:line="21" w:lineRule="exact"/>
        <w:rPr>
          <w:sz w:val="20"/>
          <w:szCs w:val="20"/>
          <w:color w:val="auto"/>
        </w:rPr>
      </w:pPr>
    </w:p>
    <w:p>
      <w:pPr>
        <w:ind w:left="6520"/>
        <w:spacing w:after="0"/>
        <w:rPr>
          <w:sz w:val="20"/>
          <w:szCs w:val="20"/>
          <w:color w:val="auto"/>
        </w:rPr>
      </w:pPr>
      <w:r>
        <w:rPr>
          <w:rFonts w:ascii="Arial" w:cs="Arial" w:eastAsia="Arial" w:hAnsi="Arial"/>
          <w:sz w:val="18"/>
          <w:szCs w:val="18"/>
          <w:color w:val="0000FF"/>
        </w:rPr>
        <w:t>Equity Partners 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-5715</wp:posOffset>
            </wp:positionV>
            <wp:extent cx="125222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52220" cy="9525"/>
                    </a:xfrm>
                    <a:prstGeom prst="rect">
                      <a:avLst/>
                    </a:prstGeom>
                    <a:noFill/>
                  </pic:spPr>
                </pic:pic>
              </a:graphicData>
            </a:graphic>
          </wp:anchor>
        </w:drawing>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18"/>
          <w:szCs w:val="18"/>
          <w:color w:val="0000FF"/>
        </w:rPr>
        <w:t>general partner By: Cavu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-5715</wp:posOffset>
            </wp:positionV>
            <wp:extent cx="124904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20"/>
          <w:szCs w:val="20"/>
          <w:color w:val="0000FF"/>
        </w:rPr>
        <w:t>Management,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01854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018540"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8"/>
          <w:szCs w:val="18"/>
          <w:color w:val="0000FF"/>
        </w:rPr>
        <w:t>general partner By: Cavu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-5715</wp:posOffset>
            </wp:positionV>
            <wp:extent cx="124904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18"/>
          <w:szCs w:val="18"/>
          <w:color w:val="0000FF"/>
        </w:rPr>
        <w:t>Advisors,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-5715</wp:posOffset>
            </wp:positionV>
            <wp:extent cx="131762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20"/>
          <w:szCs w:val="20"/>
          <w:color w:val="0000FF"/>
        </w:rPr>
        <w:t>partner By: /s/ Leslie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207770"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Kreis, Jr.,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94615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20"/>
        <w:spacing w:after="0"/>
        <w:rPr>
          <w:sz w:val="20"/>
          <w:szCs w:val="20"/>
          <w:color w:val="auto"/>
        </w:rPr>
      </w:pPr>
      <w:r>
        <w:rPr>
          <w:rFonts w:ascii="Arial" w:cs="Arial" w:eastAsia="Arial" w:hAnsi="Arial"/>
          <w:sz w:val="20"/>
          <w:szCs w:val="20"/>
          <w:color w:val="0000FF"/>
        </w:rPr>
        <w:t>Bios Fund II 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-15240</wp:posOffset>
            </wp:positionV>
            <wp:extent cx="122555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25550"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Bios Equity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16967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69670"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18"/>
          <w:szCs w:val="18"/>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-5715</wp:posOffset>
            </wp:positionV>
            <wp:extent cx="129730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18"/>
          <w:szCs w:val="18"/>
          <w:color w:val="0000FF"/>
        </w:rPr>
        <w:t>Cavu Management,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-5715</wp:posOffset>
            </wp:positionV>
            <wp:extent cx="131127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311275" cy="9525"/>
                    </a:xfrm>
                    <a:prstGeom prst="rect">
                      <a:avLst/>
                    </a:prstGeom>
                    <a:noFill/>
                  </pic:spPr>
                </pic:pic>
              </a:graphicData>
            </a:graphic>
          </wp:anchor>
        </w:drawing>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18"/>
          <w:szCs w:val="18"/>
          <w:color w:val="0000FF"/>
        </w:rPr>
        <w:t>general partner By: Cavu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-5715</wp:posOffset>
            </wp:positionV>
            <wp:extent cx="124904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18"/>
          <w:szCs w:val="18"/>
          <w:color w:val="0000FF"/>
        </w:rPr>
        <w:t>Advisors,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-5715</wp:posOffset>
            </wp:positionV>
            <wp:extent cx="1317625"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13" w:lineRule="exact"/>
        <w:rPr>
          <w:sz w:val="20"/>
          <w:szCs w:val="20"/>
          <w:color w:val="auto"/>
        </w:rPr>
      </w:pPr>
    </w:p>
    <w:p>
      <w:pPr>
        <w:ind w:left="6520"/>
        <w:spacing w:after="0"/>
        <w:rPr>
          <w:sz w:val="20"/>
          <w:szCs w:val="20"/>
          <w:color w:val="auto"/>
        </w:rPr>
      </w:pPr>
      <w:r>
        <w:rPr>
          <w:rFonts w:ascii="Arial" w:cs="Arial" w:eastAsia="Arial" w:hAnsi="Arial"/>
          <w:sz w:val="20"/>
          <w:szCs w:val="20"/>
          <w:color w:val="0000FF"/>
        </w:rPr>
        <w:t>partner By: /s/ Leslie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207770"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Kreis, Jr.,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946150"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20"/>
        <w:spacing w:after="0"/>
        <w:rPr>
          <w:sz w:val="20"/>
          <w:szCs w:val="20"/>
          <w:color w:val="auto"/>
        </w:rPr>
      </w:pPr>
      <w:r>
        <w:rPr>
          <w:rFonts w:ascii="Arial" w:cs="Arial" w:eastAsia="Arial" w:hAnsi="Arial"/>
          <w:sz w:val="20"/>
          <w:szCs w:val="20"/>
          <w:color w:val="0000FF"/>
        </w:rPr>
        <w:t>Bios Fund II QP,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-15240</wp:posOffset>
            </wp:positionV>
            <wp:extent cx="1214120"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14120"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Bios Equity Partners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16967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6967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0000FF"/>
        </w:rPr>
        <w:t>06/15/2023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451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06/15/2023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451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06/15/2023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451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06/15/2023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4515"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06/15/2023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451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06/15/2023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4515"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06/15/2023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4515"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06/15/2023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4515"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06/15/2023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4515"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60" w:space="60"/>
            <w:col w:w="2100"/>
          </w:cols>
          <w:pgMar w:left="520" w:top="129" w:right="559" w:bottom="0" w:gutter="0" w:footer="0" w:header="0"/>
          <w:type w:val="continuous"/>
        </w:sectPr>
      </w:pPr>
    </w:p>
    <w:bookmarkStart w:id="5" w:name="page6"/>
    <w:bookmarkEnd w:id="5"/>
    <w:p>
      <w:pPr>
        <w:ind w:left="6520"/>
        <w:spacing w:after="0"/>
        <w:rPr>
          <w:sz w:val="20"/>
          <w:szCs w:val="20"/>
          <w:color w:val="auto"/>
        </w:rPr>
      </w:pPr>
      <w:r>
        <w:rPr>
          <w:rFonts w:ascii="Arial" w:cs="Arial" w:eastAsia="Arial" w:hAnsi="Arial"/>
          <w:sz w:val="20"/>
          <w:szCs w:val="20"/>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-15240</wp:posOffset>
            </wp:positionV>
            <wp:extent cx="1297305"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Cavu Management,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311275"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311275"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general partner By: Cavu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249045"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Advisors,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317625"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partner By: /s/ Leslie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207770"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Kreis, Jr.,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946150"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spacing w:after="0" w:line="42" w:lineRule="exact"/>
        <w:rPr>
          <w:sz w:val="20"/>
          <w:szCs w:val="20"/>
          <w:color w:val="auto"/>
        </w:rPr>
      </w:pPr>
    </w:p>
    <w:p>
      <w:pPr>
        <w:ind w:left="6520"/>
        <w:spacing w:after="0"/>
        <w:rPr>
          <w:sz w:val="20"/>
          <w:szCs w:val="20"/>
          <w:color w:val="auto"/>
        </w:rPr>
      </w:pPr>
      <w:r>
        <w:rPr>
          <w:rFonts w:ascii="Arial" w:cs="Arial" w:eastAsia="Arial" w:hAnsi="Arial"/>
          <w:sz w:val="20"/>
          <w:szCs w:val="20"/>
          <w:color w:val="0000FF"/>
        </w:rPr>
        <w:t>Bios Equity Partners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-15240</wp:posOffset>
            </wp:positionV>
            <wp:extent cx="1345565"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1345565"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By: Cavu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179830"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1179830"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297305"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ind w:left="6520"/>
        <w:spacing w:after="0"/>
        <w:tabs>
          <w:tab w:leader="none" w:pos="8700" w:val="left"/>
        </w:tabs>
        <w:rPr>
          <w:sz w:val="20"/>
          <w:szCs w:val="20"/>
          <w:color w:val="auto"/>
        </w:rPr>
      </w:pPr>
      <w:r>
        <w:rPr>
          <w:rFonts w:ascii="Arial" w:cs="Arial" w:eastAsia="Arial" w:hAnsi="Arial"/>
          <w:sz w:val="20"/>
          <w:szCs w:val="20"/>
          <w:color w:val="0000FF"/>
        </w:rPr>
        <w:t>Cavu Advisors, LLC, its</w:t>
      </w:r>
      <w:r>
        <w:rPr>
          <w:sz w:val="20"/>
          <w:szCs w:val="20"/>
          <w:color w:val="auto"/>
        </w:rPr>
        <w:tab/>
      </w:r>
      <w:r>
        <w:rPr>
          <w:rFonts w:ascii="Arial" w:cs="Arial" w:eastAsia="Arial" w:hAnsi="Arial"/>
          <w:sz w:val="17"/>
          <w:szCs w:val="17"/>
          <w:color w:val="0000FF"/>
        </w:rPr>
        <w:t>06/15/2023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957705"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957705"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1104265"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104265"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Leslie W. Kreis,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973455" cy="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973455" cy="9525"/>
                    </a:xfrm>
                    <a:prstGeom prst="rect">
                      <a:avLst/>
                    </a:prstGeom>
                    <a:noFill/>
                  </pic:spPr>
                </pic:pic>
              </a:graphicData>
            </a:graphic>
          </wp:anchor>
        </w:drawing>
      </w:r>
    </w:p>
    <w:p>
      <w:pPr>
        <w:ind w:left="6520"/>
        <w:spacing w:after="0"/>
        <w:rPr>
          <w:sz w:val="20"/>
          <w:szCs w:val="20"/>
          <w:color w:val="auto"/>
        </w:rPr>
      </w:pPr>
      <w:r>
        <w:rPr>
          <w:rFonts w:ascii="Arial" w:cs="Arial" w:eastAsia="Arial" w:hAnsi="Arial"/>
          <w:sz w:val="20"/>
          <w:szCs w:val="20"/>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-20320</wp:posOffset>
            </wp:positionV>
            <wp:extent cx="440055" cy="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440055" cy="952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2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5"/>
        </w:trPr>
        <w:tc>
          <w:tcPr>
            <w:tcW w:w="8460" w:type="dxa"/>
            <w:vAlign w:val="bottom"/>
            <w:vMerge w:val="restart"/>
          </w:tcPr>
          <w:p>
            <w:pPr>
              <w:ind w:left="652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84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image" Target="media/image4.png"/><Relationship Id="rId19"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10" Type="http://schemas.openxmlformats.org/officeDocument/2006/relationships/hyperlink" Target="http://www.sec.gov/cgi-bin/browse-edgar?action=getcompany&amp;CIK=0001813316" TargetMode="External"/><Relationship Id="rId11" Type="http://schemas.openxmlformats.org/officeDocument/2006/relationships/hyperlink" Target="http://www.sec.gov/cgi-bin/browse-edgar?action=getcompany&amp;CIK=0001701478" TargetMode="External"/><Relationship Id="rId13" Type="http://schemas.openxmlformats.org/officeDocument/2006/relationships/hyperlink" Target="http://www.sec.gov/cgi-bin/browse-edgar?action=getcompany&amp;CIK=0001813310" TargetMode="External"/><Relationship Id="rId14" Type="http://schemas.openxmlformats.org/officeDocument/2006/relationships/hyperlink" Target="http://www.sec.gov/cgi-bin/browse-edgar?action=getcompany&amp;CIK=0001813270" TargetMode="External"/><Relationship Id="rId15" Type="http://schemas.openxmlformats.org/officeDocument/2006/relationships/hyperlink" Target="http://www.sec.gov/cgi-bin/browse-edgar?action=getcompany&amp;CIK=0001697316" TargetMode="External"/><Relationship Id="rId16" Type="http://schemas.openxmlformats.org/officeDocument/2006/relationships/hyperlink" Target="http://www.sec.gov/cgi-bin/browse-edgar?action=getcompany&amp;CIK=0001700297" TargetMode="External"/><Relationship Id="rId18" Type="http://schemas.openxmlformats.org/officeDocument/2006/relationships/hyperlink" Target="http://www.sec.gov/cgi-bin/browse-edgar?action=getcompany&amp;CIK=0001813314" TargetMode="External"/><Relationship Id="rId20" Type="http://schemas.openxmlformats.org/officeDocument/2006/relationships/hyperlink" Target="http://www.sec.gov/cgi-bin/browse-edgar?action=getcompany&amp;CIK=0001714576" TargetMode="External"/><Relationship Id="rId21" Type="http://schemas.openxmlformats.org/officeDocument/2006/relationships/hyperlink" Target="http://www.sec.gov/cgi-bin/browse-edgar?action=getcompany&amp;CIK=0001728851" TargetMode="External"/><Relationship Id="rId22" Type="http://schemas.openxmlformats.org/officeDocument/2006/relationships/hyperlink" Target="http://www.sec.gov/cgi-bin/browse-edgar?action=getcompany&amp;CIK=0001716869" TargetMode="External"/><Relationship Id="rId23" Type="http://schemas.openxmlformats.org/officeDocument/2006/relationships/hyperlink" Target="http://www.sec.gov/cgi-bin/browse-edgar?action=getcompany&amp;CIK=00018133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2023-06-15T17:04:05Z</dcterms:created>
  <dcterms:modified xsi:type="dcterms:W3CDTF">2023-06-15T17:04:05Z</dcterms:modified>
</cp:coreProperties>
</file>