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908"/>
            <w:bookmarkEnd w:id="6"/>
            <w:r>
              <w:rPr>
                <w:rFonts w:ascii="Times New Roman;Times;Serif" w:hAnsi="Times New Roman;Times;Serif"/>
                <w:b/>
                <w:i w:val="false"/>
                <w:caps w:val="false"/>
                <w:smallCaps w:val="false"/>
                <w:sz w:val="20"/>
              </w:rPr>
              <w:t>001-41705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46-4478536</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21 Business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Branford, </w:t>
      </w:r>
      <w:bookmarkStart w:id="10" w:name="xdx_90B_edei--EntityAddressStateOrProvin"/>
      <w:bookmarkEnd w:id="10"/>
      <w:r>
        <w:rPr>
          <w:rFonts w:ascii="Times New Roman;Times;Serif" w:hAnsi="Times New Roman;Times;Serif"/>
          <w:b/>
          <w:i w:val="false"/>
          <w:caps w:val="false"/>
          <w:smallCaps w:val="false"/>
          <w:sz w:val="20"/>
        </w:rPr>
        <w:t xml:space="preserve">CT </w:t>
      </w:r>
      <w:bookmarkStart w:id="11" w:name="xdx_909_edei--EntityAddressPostalZipCode"/>
      <w:bookmarkEnd w:id="11"/>
      <w:r>
        <w:rPr>
          <w:rFonts w:ascii="Times New Roman;Times;Serif" w:hAnsi="Times New Roman;Times;Serif"/>
          <w:b/>
          <w:i w:val="false"/>
          <w:caps w:val="false"/>
          <w:smallCaps w:val="false"/>
          <w:sz w:val="20"/>
        </w:rPr>
        <w:t>06405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7_edei--CityAreaCode_c20260908__20"/>
      <w:bookmarkEnd w:id="12"/>
      <w:r>
        <w:rPr>
          <w:rFonts w:ascii="Times New Roman;Times;Serif" w:hAnsi="Times New Roman;Times;Serif"/>
          <w:b/>
          <w:i w:val="false"/>
          <w:caps w:val="false"/>
          <w:smallCaps w:val="false"/>
          <w:sz w:val="20"/>
        </w:rPr>
        <w:t xml:space="preserve">(203) </w:t>
      </w:r>
      <w:bookmarkStart w:id="13" w:name="xdx_907_edei--LocalPhoneNumber_c20260908"/>
      <w:bookmarkEnd w:id="13"/>
      <w:r>
        <w:rPr>
          <w:rFonts w:ascii="Times New Roman;Times;Serif" w:hAnsi="Times New Roman;Times;Serif"/>
          <w:b/>
          <w:i w:val="false"/>
          <w:caps w:val="false"/>
          <w:smallCaps w:val="false"/>
          <w:sz w:val="20"/>
        </w:rPr>
        <w:t>646-6446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7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3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2915"/>
        <w:gridCol w:w="60"/>
        <w:gridCol w:w="1535"/>
        <w:gridCol w:w="60"/>
        <w:gridCol w:w="3590"/>
      </w:tblGrid>
      <w:tr>
        <w:trPr/>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0_edei--Security12bTitle_c20260908"/>
            <w:bookmarkEnd w:id="18"/>
            <w:r>
              <w:rPr>
                <w:rFonts w:ascii="Times New Roman;Times;Serif" w:hAnsi="Times New Roman;Times;Serif"/>
                <w:b/>
                <w:i w:val="false"/>
                <w:caps w:val="false"/>
                <w:smallCaps w:val="false"/>
                <w:sz w:val="20"/>
              </w:rPr>
              <w:t>Common stock, par value $0.0001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E_edei--TradingSymbol_c20260908__2"/>
            <w:bookmarkEnd w:id="19"/>
            <w:r>
              <w:rPr>
                <w:rFonts w:ascii="Times New Roman;Times;Serif" w:hAnsi="Times New Roman;Times;Serif"/>
                <w:b/>
                <w:i w:val="false"/>
                <w:caps w:val="false"/>
                <w:smallCaps w:val="false"/>
                <w:sz w:val="20"/>
              </w:rPr>
              <w:t>AZTR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7_edei--SecurityExchangeName_c2026"/>
            <w:bookmarkEnd w:id="20"/>
            <w:r>
              <w:rPr>
                <w:rFonts w:ascii="Times New Roman;Times;Serif" w:hAnsi="Times New Roman;Times;Serif"/>
                <w:b/>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Azitra, Inc. (the “Company”) issued a press release announcing that it will provide a virtual presentation at the H.C. Wainwright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Global Investment Conference. The press release includes a link to the pre-recorded presentation by Dr. Travis Whitfill, the Company’s Chief Operating Officer.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the information contained in Exhibit 99.1 is being furnished to the U.S. Securities and Exchange Commission,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485" w:type="dxa"/>
            <w:tcBorders/>
            <w:shd w:fill="CCEEFF" w:val="cle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8, 2026</w:t>
              </w:r>
            </w:hyperlink>
            <w:r>
              <w:rPr>
                <w:rFonts w:ascii="Times New Roman;Times;Serif" w:hAnsi="Times New Roman;Times;Serif"/>
                <w:b w:val="false"/>
                <w:i w:val="false"/>
                <w:caps w:val="false"/>
                <w:smallCaps w:val="false"/>
                <w:sz w:val="20"/>
              </w:rPr>
              <w:t>.</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2135"/>
        <w:gridCol w:w="320"/>
        <w:gridCol w:w="1955"/>
      </w:tblGrid>
      <w:tr>
        <w:trPr/>
        <w:tc>
          <w:tcPr>
            <w:tcW w:w="2135" w:type="dxa"/>
            <w:tcBorders/>
            <w:vAlign w:val="center"/>
          </w:tcPr>
          <w:p>
            <w:pPr>
              <w:pStyle w:val="TableContents"/>
              <w:bidi w:val="0"/>
              <w:spacing w:before="0" w:after="283"/>
              <w:jc w:val="center"/>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Francisco D. Salva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 D. Salva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17320" cy="320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7320" cy="32004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 to Present at the H.C. Wainwright 28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Investment Conference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BRANFORD, Conn. – September 8, 2026 — Azitra, Inc. (“Azitra” or the “Company”) (NYSE American: AZTR), a clinical-stage biopharmaceutical company focused on developing innovative therapies for precision dermatology and high value cosmetic proteins and peptides, today announced that Travis Whitfill Ph.D., MPH, Azitra’s Co-founder and Chief Operating Officer, will deliver a virtual presentation at the H.C. Wainwright 28th Annual Global Investment Conference, to be held from September 14-16, 2026, in New York 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prerecorded presentation, Dr. Whitfill will provide an update on Azitra’s recent progress and key pipeline activities, including initial data from the ATR-COSF program supporting the Company’s strategy to leverage its microbial genetic engineering platform beyond traditional therapeutics, including cosmetic applications targeting fine lines and wrinkles. He will also discuss continued enrollment in the first cohort of the Phase 1/2 clinical trial evaluating ATR-04 for EGFR inhibitor-associated rash.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presentation are as follows:</w:t>
      </w:r>
    </w:p>
    <w:p>
      <w:pPr>
        <w:pStyle w:val="TextBody"/>
        <w:bidi w:val="0"/>
        <w:spacing w:before="0" w:after="0"/>
        <w:ind w:left="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950"/>
        <w:gridCol w:w="5990"/>
      </w:tblGrid>
      <w:tr>
        <w:trPr/>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w:t>
            </w:r>
          </w:p>
        </w:tc>
        <w:tc>
          <w:tcPr>
            <w:tcW w:w="59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 Wainwright 28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Investment Conference</w:t>
            </w:r>
          </w:p>
        </w:tc>
      </w:tr>
      <w:tr>
        <w:trPr/>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14-16, 2026</w:t>
            </w:r>
          </w:p>
        </w:tc>
      </w:tr>
      <w:tr>
        <w:trPr/>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Presenter: </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Travis Whitfill Ph.D., MPH, Co-founder and Chief Operating Officer</w:t>
            </w:r>
          </w:p>
        </w:tc>
      </w:tr>
      <w:tr>
        <w:trPr/>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Link:</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https://journey.ct.events/view/e79c38bd-e846-43ef-9594-230c8c543204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conference, Dr. Whitfill will conduct one-on-one meetings with registered investors and potential partners, highlighting the Company’s business and clinical development strategy, recent corporate achievements, and anticipated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Azitra,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 is a clinical-stage biopharmaceutical company focused on developing innovative therapies for precision dermatology and novel products across therapeutics, cosmeceuticals and biotechnology applications. The Company’s portfolio is highlighted by ATR-COSF, a recombinant protein technology designed for cosmetic and skincare applications, and ATR-04, an investigational live biotherapeutic for EGFR inhibitor (“EGFRi”) associated rash. Azitra has received Fast Track designation from the FDA for EGFR inhibitor-associated rash, which impacts approximately 150,000 people in the U.S. Azitra is also advancing additional recombinant protein initiatives designed to support biotechnology research and manufacturing applications. Azitra’s technology platforms combine engineered proteins, topical live biotherapeutics, artificial intelligence, and a proprietary microbial library to develop differentiated products for consumer, research and healthcare markets. For more information, please visit https://azitrainc.com.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expected timing of (i) our potential resumption and expected timing of initial safety data and topline results for the Phase 1b trial for our ATR-12, (ii) the abstract detailing the Phase 1/2 clinical trial for our ATR-04 program, (iii) our provision of initial safety data and topline results for the Phase 1/2 clinical trial for our ATR-04 program, (iv) statements about our clinical and preclinical programs, and corporate and clinical/preclinical strategies, including our cosmeceutical strategy and our recombinant protein platform, (v) the expected timing of our planned human cosmetic application study for ATR-COSF, and (vi) statements regarding our strategy plans and priorities, including those outlined in our recent shareholder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timing of clinical trials and their results; we may experience delays in the provision of initial safety data and topline results for ATR-COSF, our recombinant protein platform, ATR-12 and ATR-04 and, if we do, such data and results may not be favorably received; the safety and efficacy of our product candidates; possible delays in regulatory approval or changes in regulatory framework that are out of our control; our estimation of addressable markets of our product candidates may be inaccurate;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or incorporated by reference in our annual report on Form 10-K filed with the United States Securities and Exchange Commission (the “SEC”) on February 27, 2026 and our quarterly report on Form 10-Q filed on May 13, 2026 and August 12, 2026 with the SEC. Azitra explicitly disclaims any obligation to update any forward-looking statements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Staskey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staskey@azitrainc.com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Tiberend Strategic Advisors,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Irish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231-632-0002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dirish@tiberend.com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Tiberend Strategic Advisors,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Casey McDonald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646-577-8520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cmcdonald@tiberend.com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1410</Words>
  <Characters>8394</Characters>
  <CharactersWithSpaces>9805</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