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333-276598</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16,667,000 Shares</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2359660</wp:posOffset>
            </wp:positionH>
            <wp:positionV relativeFrom="paragraph">
              <wp:posOffset>129540</wp:posOffset>
            </wp:positionV>
            <wp:extent cx="2431415" cy="810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31415" cy="810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Azitra,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13994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pacing w:after="0" w:line="23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This is a firm commitment public offering of 16,667,000 shares of common stock, par value $0.0001 per share, of Azitra, Inc. The public offering price is $0.30 per share.</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the NYSE American, under the symbol “AZTR.” On February 13, 2024, the closing sale of our common stock was $0.8702.</w:t>
      </w:r>
    </w:p>
    <w:p>
      <w:pPr>
        <w:spacing w:after="0" w:line="21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are an “emerging growth company” under the U.S. federal securities laws and have elected to comply with certain reduced public company reporting requirements.</w:t>
      </w:r>
    </w:p>
    <w:p>
      <w:pPr>
        <w:spacing w:after="0" w:line="149"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color w:val="auto"/>
        </w:rPr>
        <w:t>Investing in our shares of common stock involves a high degree of risk. See the section titled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beginning on page 11. Neither the Securities and Exchange Commission, or the SEC, nor any state securities commission has approved or disapproved of these securities or determined if this prospectus is truthful or complete. Any representation to the contrary is a criminal offense.</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360" w:type="dxa"/>
            <w:vAlign w:val="bottom"/>
          </w:tcPr>
          <w:p>
            <w:pPr>
              <w:spacing w:after="0"/>
              <w:rPr>
                <w:sz w:val="20"/>
                <w:szCs w:val="20"/>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4"/>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2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5,000,100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42"/>
        </w:trPr>
        <w:tc>
          <w:tcPr>
            <w:tcW w:w="5200" w:type="dxa"/>
            <w:vAlign w:val="bottom"/>
          </w:tcPr>
          <w:p>
            <w:pPr>
              <w:spacing w:after="0" w:line="242"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8"/>
                <w:szCs w:val="28"/>
                <w:color w:val="auto"/>
                <w:vertAlign w:val="superscript"/>
              </w:rPr>
              <w:t>(1)</w:t>
            </w:r>
          </w:p>
        </w:tc>
        <w:tc>
          <w:tcPr>
            <w:tcW w:w="25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0.0225</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375,007.50</w:t>
            </w:r>
          </w:p>
        </w:tc>
      </w:tr>
      <w:tr>
        <w:trPr>
          <w:trHeight w:val="20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to us, before expenses</w:t>
            </w:r>
          </w:p>
        </w:tc>
        <w:tc>
          <w:tcPr>
            <w:tcW w:w="25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0.27750</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4,625,092.50</w:t>
            </w:r>
          </w:p>
        </w:tc>
      </w:tr>
    </w:tbl>
    <w:p>
      <w:pPr>
        <w:spacing w:after="0" w:line="188" w:lineRule="exact"/>
        <w:rPr>
          <w:sz w:val="24"/>
          <w:szCs w:val="24"/>
          <w:color w:val="auto"/>
        </w:rPr>
      </w:pPr>
    </w:p>
    <w:p>
      <w:pPr>
        <w:ind w:left="300" w:hanging="298"/>
        <w:spacing w:after="0" w:line="282"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Underwriting discounts and commissions do not include a non-accountable expense allowance equal to 1% of the public offering price payable to the underwriters. We refer you to “Underwriting” beginning on page 106 for additional information regarding underwriters’ compensation.</w:t>
      </w:r>
    </w:p>
    <w:p>
      <w:pPr>
        <w:spacing w:after="0" w:line="15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We have granted a 45-day option to the representative of the underwriters to purchase up to 2,500,000 additional shares of common stock solely to cover over-allotments, if any.</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underwriters expect to deliver the shares to purchasers on or about February 16, 2024.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ThinkEquity</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date of this prospectus is February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275590</wp:posOffset>
            </wp:positionV>
            <wp:extent cx="713994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413385</wp:posOffset>
            </wp:positionV>
            <wp:extent cx="7139940" cy="7196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7196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380" w:type="dxa"/>
            <w:vAlign w:val="bottom"/>
            <w:gridSpan w:val="4"/>
          </w:tcPr>
          <w:p>
            <w:pPr>
              <w:ind w:left="4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4"/>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40" w:type="dxa"/>
            <w:vAlign w:val="bottom"/>
            <w:gridSpan w:val="21"/>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INDUSTRY AND MARKET DATA</w:t>
            </w:r>
          </w:p>
        </w:tc>
        <w:tc>
          <w:tcPr>
            <w:tcW w:w="6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7"/>
                <w:szCs w:val="17"/>
                <w:color w:val="auto"/>
              </w:rPr>
              <w:t>i</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80" w:type="dxa"/>
            <w:vAlign w:val="bottom"/>
            <w:tcBorders>
              <w:top w:val="single" w:sz="8" w:color="0000EE"/>
              <w:bottom w:val="single" w:sz="8" w:color="0000EE"/>
            </w:tcBorders>
            <w:gridSpan w:val="8"/>
          </w:tcPr>
          <w:p>
            <w:pPr>
              <w:spacing w:after="0" w:line="166" w:lineRule="exact"/>
              <w:rPr>
                <w:sz w:val="20"/>
                <w:szCs w:val="20"/>
                <w:color w:val="auto"/>
              </w:rPr>
            </w:pPr>
            <w:r>
              <w:rPr>
                <w:rFonts w:ascii="Times New Roman" w:cs="Times New Roman" w:eastAsia="Times New Roman" w:hAnsi="Times New Roman"/>
                <w:sz w:val="17"/>
                <w:szCs w:val="17"/>
                <w:color w:val="0000EE"/>
                <w:w w:val="99"/>
              </w:rPr>
              <w:t>PROSPECTUS SUMMARY</w:t>
            </w:r>
          </w:p>
        </w:tc>
        <w:tc>
          <w:tcPr>
            <w:tcW w:w="520" w:type="dxa"/>
            <w:vAlign w:val="bottom"/>
            <w:tcBorders>
              <w:top w:val="single" w:sz="8" w:color="0000EE"/>
            </w:tcBorders>
            <w:gridSpan w:val="5"/>
          </w:tcPr>
          <w:p>
            <w:pPr>
              <w:spacing w:after="0"/>
              <w:rPr>
                <w:sz w:val="14"/>
                <w:szCs w:val="14"/>
                <w:color w:val="auto"/>
              </w:rPr>
            </w:pPr>
          </w:p>
        </w:tc>
        <w:tc>
          <w:tcPr>
            <w:tcW w:w="8140" w:type="dxa"/>
            <w:vAlign w:val="bottom"/>
            <w:tcBorders>
              <w:top w:val="single" w:sz="8" w:color="CCEEFF"/>
            </w:tcBorders>
            <w:gridSpan w:val="8"/>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THE OFFERING</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100" w:type="dxa"/>
            <w:vAlign w:val="bottom"/>
            <w:tcBorders>
              <w:bottom w:val="single" w:sz="8" w:color="0000EE"/>
            </w:tcBorders>
            <w:gridSpan w:val="9"/>
          </w:tcPr>
          <w:p>
            <w:pPr>
              <w:spacing w:after="0" w:line="166" w:lineRule="exact"/>
              <w:rPr>
                <w:sz w:val="20"/>
                <w:szCs w:val="20"/>
                <w:color w:val="auto"/>
              </w:rPr>
            </w:pPr>
            <w:r>
              <w:rPr>
                <w:rFonts w:ascii="Times New Roman" w:cs="Times New Roman" w:eastAsia="Times New Roman" w:hAnsi="Times New Roman"/>
                <w:sz w:val="17"/>
                <w:szCs w:val="17"/>
                <w:color w:val="0000EE"/>
                <w:w w:val="98"/>
              </w:rPr>
              <w:t>SUMMARY RISK FACTORS</w:t>
            </w:r>
          </w:p>
        </w:tc>
        <w:tc>
          <w:tcPr>
            <w:tcW w:w="8540" w:type="dxa"/>
            <w:vAlign w:val="bottom"/>
            <w:gridSpan w:val="12"/>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tcBorders>
              <w:bottom w:val="single" w:sz="8" w:color="0000EE"/>
            </w:tcBorders>
            <w:gridSpan w:val="1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7"/>
              </w:rPr>
              <w:t>SUMMARY FINANCIAL DATA</w:t>
            </w:r>
          </w:p>
        </w:tc>
        <w:tc>
          <w:tcPr>
            <w:tcW w:w="8320" w:type="dxa"/>
            <w:vAlign w:val="bottom"/>
            <w:tcBorders>
              <w:bottom w:val="single" w:sz="8" w:color="CCEEFF"/>
            </w:tcBorders>
            <w:gridSpan w:val="10"/>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640" w:type="dxa"/>
            <w:vAlign w:val="bottom"/>
            <w:gridSpan w:val="21"/>
          </w:tcPr>
          <w:p>
            <w:pPr>
              <w:spacing w:after="0" w:line="166" w:lineRule="exact"/>
              <w:rPr>
                <w:sz w:val="20"/>
                <w:szCs w:val="20"/>
                <w:color w:val="auto"/>
              </w:rPr>
            </w:pPr>
            <w:r>
              <w:rPr>
                <w:rFonts w:ascii="Times New Roman" w:cs="Times New Roman" w:eastAsia="Times New Roman" w:hAnsi="Times New Roman"/>
                <w:sz w:val="17"/>
                <w:szCs w:val="17"/>
                <w:color w:val="0000EE"/>
              </w:rPr>
              <w:t>RISK FACTORS</w:t>
            </w: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460" w:type="dxa"/>
            <w:vAlign w:val="bottom"/>
            <w:tcBorders>
              <w:top w:val="single" w:sz="8" w:color="0000EE"/>
            </w:tcBorders>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TRADEMARKS, SERVICE MARKS AND TRADE NAMES</w:t>
            </w:r>
          </w:p>
        </w:tc>
        <w:tc>
          <w:tcPr>
            <w:tcW w:w="5180" w:type="dxa"/>
            <w:vAlign w:val="bottom"/>
            <w:tcBorders>
              <w:top w:val="single" w:sz="8" w:color="CCEEFF"/>
            </w:tcBorders>
            <w:gridSpan w:val="3"/>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500" w:type="dxa"/>
            <w:vAlign w:val="bottom"/>
            <w:tcBorders>
              <w:top w:val="single" w:sz="8" w:color="0000EE"/>
              <w:bottom w:val="single" w:sz="8" w:color="0000EE"/>
            </w:tcBorders>
            <w:gridSpan w:val="7"/>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USE OF PROCEEDS</w:t>
            </w:r>
          </w:p>
        </w:tc>
        <w:tc>
          <w:tcPr>
            <w:tcW w:w="2760" w:type="dxa"/>
            <w:vAlign w:val="bottom"/>
            <w:tcBorders>
              <w:top w:val="single" w:sz="8" w:color="0000EE"/>
              <w:bottom w:val="single" w:sz="8" w:color="CCEEFF"/>
            </w:tcBorders>
            <w:gridSpan w:val="10"/>
            <w:shd w:val="clear" w:color="auto" w:fill="CCEEFF"/>
          </w:tcPr>
          <w:p>
            <w:pPr>
              <w:spacing w:after="0"/>
              <w:rPr>
                <w:sz w:val="17"/>
                <w:szCs w:val="17"/>
                <w:color w:val="auto"/>
              </w:rPr>
            </w:pPr>
          </w:p>
        </w:tc>
        <w:tc>
          <w:tcPr>
            <w:tcW w:w="638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500" w:type="dxa"/>
            <w:vAlign w:val="bottom"/>
            <w:tcBorders>
              <w:bottom w:val="single" w:sz="8" w:color="0000EE"/>
            </w:tcBorders>
            <w:gridSpan w:val="7"/>
          </w:tcPr>
          <w:p>
            <w:pPr>
              <w:spacing w:after="0" w:line="166" w:lineRule="exact"/>
              <w:rPr>
                <w:sz w:val="20"/>
                <w:szCs w:val="20"/>
                <w:color w:val="auto"/>
              </w:rPr>
            </w:pPr>
            <w:r>
              <w:rPr>
                <w:rFonts w:ascii="Times New Roman" w:cs="Times New Roman" w:eastAsia="Times New Roman" w:hAnsi="Times New Roman"/>
                <w:sz w:val="17"/>
                <w:szCs w:val="17"/>
                <w:color w:val="0000EE"/>
                <w:w w:val="99"/>
              </w:rPr>
              <w:t>DIVIDEND POLICY</w:t>
            </w:r>
          </w:p>
        </w:tc>
        <w:tc>
          <w:tcPr>
            <w:tcW w:w="9140" w:type="dxa"/>
            <w:vAlign w:val="bottom"/>
            <w:gridSpan w:val="14"/>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380" w:type="dxa"/>
            <w:vAlign w:val="bottom"/>
            <w:tcBorders>
              <w:bottom w:val="single" w:sz="8" w:color="0000EE"/>
            </w:tcBorders>
            <w:gridSpan w:val="6"/>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6"/>
              </w:rPr>
              <w:t>CAPITALIZATION</w:t>
            </w:r>
          </w:p>
        </w:tc>
        <w:tc>
          <w:tcPr>
            <w:tcW w:w="9260" w:type="dxa"/>
            <w:vAlign w:val="bottom"/>
            <w:tcBorders>
              <w:bottom w:val="single" w:sz="8" w:color="CCEEFF"/>
            </w:tcBorders>
            <w:gridSpan w:val="1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 w:type="dxa"/>
            <w:vAlign w:val="bottom"/>
            <w:tcBorders>
              <w:bottom w:val="single" w:sz="8" w:color="0000EE"/>
            </w:tcBorders>
            <w:gridSpan w:val="3"/>
          </w:tcPr>
          <w:p>
            <w:pPr>
              <w:spacing w:after="0" w:line="166" w:lineRule="exact"/>
              <w:rPr>
                <w:sz w:val="20"/>
                <w:szCs w:val="20"/>
                <w:color w:val="auto"/>
              </w:rPr>
            </w:pPr>
            <w:r>
              <w:rPr>
                <w:rFonts w:ascii="Times New Roman" w:cs="Times New Roman" w:eastAsia="Times New Roman" w:hAnsi="Times New Roman"/>
                <w:sz w:val="17"/>
                <w:szCs w:val="17"/>
                <w:color w:val="0000EE"/>
                <w:w w:val="98"/>
              </w:rPr>
              <w:t>DILUTION</w:t>
            </w:r>
          </w:p>
        </w:tc>
        <w:tc>
          <w:tcPr>
            <w:tcW w:w="9820" w:type="dxa"/>
            <w:vAlign w:val="bottom"/>
            <w:gridSpan w:val="18"/>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20" w:type="dxa"/>
            <w:vAlign w:val="bottom"/>
            <w:tcBorders>
              <w:top w:val="single" w:sz="8" w:color="0000EE"/>
            </w:tcBorders>
            <w:gridSpan w:val="20"/>
          </w:tcPr>
          <w:p>
            <w:pPr>
              <w:spacing w:after="0" w:line="166" w:lineRule="exact"/>
              <w:rPr>
                <w:sz w:val="20"/>
                <w:szCs w:val="20"/>
                <w:color w:val="auto"/>
              </w:rPr>
            </w:pPr>
            <w:r>
              <w:rPr>
                <w:rFonts w:ascii="Times New Roman" w:cs="Times New Roman" w:eastAsia="Times New Roman" w:hAnsi="Times New Roman"/>
                <w:sz w:val="17"/>
                <w:szCs w:val="17"/>
                <w:color w:val="0000EE"/>
              </w:rPr>
              <w:t>BUSINESS</w:t>
            </w:r>
          </w:p>
        </w:tc>
        <w:tc>
          <w:tcPr>
            <w:tcW w:w="22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80" w:type="dxa"/>
            <w:vAlign w:val="bottom"/>
            <w:tcBorders>
              <w:bottom w:val="single" w:sz="8" w:color="0000EE"/>
            </w:tcBorders>
            <w:gridSpan w:val="4"/>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2"/>
              </w:rPr>
              <w:t>MANAGEMENT</w:t>
            </w:r>
          </w:p>
        </w:tc>
        <w:tc>
          <w:tcPr>
            <w:tcW w:w="9460" w:type="dxa"/>
            <w:vAlign w:val="bottom"/>
            <w:tcBorders>
              <w:left w:val="single" w:sz="8" w:color="CCEEFF"/>
              <w:bottom w:val="single" w:sz="8" w:color="CCEEFF"/>
            </w:tcBorders>
            <w:gridSpan w:val="17"/>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640" w:type="dxa"/>
            <w:vAlign w:val="bottom"/>
            <w:gridSpan w:val="21"/>
          </w:tcPr>
          <w:p>
            <w:pPr>
              <w:spacing w:after="0" w:line="166" w:lineRule="exact"/>
              <w:rPr>
                <w:sz w:val="20"/>
                <w:szCs w:val="20"/>
                <w:color w:val="auto"/>
              </w:rPr>
            </w:pPr>
            <w:r>
              <w:rPr>
                <w:rFonts w:ascii="Times New Roman" w:cs="Times New Roman" w:eastAsia="Times New Roman" w:hAnsi="Times New Roman"/>
                <w:sz w:val="17"/>
                <w:szCs w:val="17"/>
                <w:color w:val="0000EE"/>
              </w:rPr>
              <w:t>PRINCIPAL STOCKHOLDERS</w:t>
            </w: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380" w:type="dxa"/>
            <w:vAlign w:val="bottom"/>
            <w:tcBorders>
              <w:bottom w:val="single" w:sz="8" w:color="0000EE"/>
            </w:tcBorders>
            <w:gridSpan w:val="1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DESCRIPTION OF SECURITIES</w:t>
            </w:r>
          </w:p>
        </w:tc>
        <w:tc>
          <w:tcPr>
            <w:tcW w:w="8260" w:type="dxa"/>
            <w:vAlign w:val="bottom"/>
            <w:tcBorders>
              <w:bottom w:val="single" w:sz="8" w:color="CCEEFF"/>
            </w:tcBorders>
            <w:gridSpan w:val="9"/>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640" w:type="dxa"/>
            <w:vAlign w:val="bottom"/>
            <w:gridSpan w:val="21"/>
          </w:tcPr>
          <w:p>
            <w:pPr>
              <w:spacing w:after="0" w:line="166" w:lineRule="exact"/>
              <w:rPr>
                <w:sz w:val="20"/>
                <w:szCs w:val="20"/>
                <w:color w:val="auto"/>
              </w:rPr>
            </w:pPr>
            <w:r>
              <w:rPr>
                <w:rFonts w:ascii="Times New Roman" w:cs="Times New Roman" w:eastAsia="Times New Roman" w:hAnsi="Times New Roman"/>
                <w:sz w:val="17"/>
                <w:szCs w:val="17"/>
                <w:color w:val="0000EE"/>
              </w:rPr>
              <w:t>SHARES ELIGIBLE FOR FUTURE SALE</w:t>
            </w: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MATERIAL U.S. FEDERAL INCOME TAX CONSEQUENCES FOR NON-U.S. HOLDERS</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320" w:type="dxa"/>
            <w:vAlign w:val="bottom"/>
            <w:tcBorders>
              <w:top w:val="single" w:sz="8" w:color="0000EE"/>
              <w:bottom w:val="single" w:sz="8" w:color="0000EE"/>
            </w:tcBorders>
            <w:gridSpan w:val="5"/>
          </w:tcPr>
          <w:p>
            <w:pPr>
              <w:spacing w:after="0" w:line="166" w:lineRule="exact"/>
              <w:rPr>
                <w:sz w:val="20"/>
                <w:szCs w:val="20"/>
                <w:color w:val="auto"/>
              </w:rPr>
            </w:pPr>
            <w:r>
              <w:rPr>
                <w:rFonts w:ascii="Times New Roman" w:cs="Times New Roman" w:eastAsia="Times New Roman" w:hAnsi="Times New Roman"/>
                <w:sz w:val="17"/>
                <w:szCs w:val="17"/>
                <w:color w:val="0000EE"/>
                <w:w w:val="98"/>
              </w:rPr>
              <w:t>UNDERWRITING</w:t>
            </w:r>
          </w:p>
        </w:tc>
        <w:tc>
          <w:tcPr>
            <w:tcW w:w="5140" w:type="dxa"/>
            <w:vAlign w:val="bottom"/>
            <w:tcBorders>
              <w:top w:val="single" w:sz="8" w:color="0000EE"/>
            </w:tcBorders>
            <w:gridSpan w:val="14"/>
          </w:tcPr>
          <w:p>
            <w:pPr>
              <w:spacing w:after="0"/>
              <w:rPr>
                <w:sz w:val="14"/>
                <w:szCs w:val="14"/>
                <w:color w:val="auto"/>
              </w:rPr>
            </w:pPr>
          </w:p>
        </w:tc>
        <w:tc>
          <w:tcPr>
            <w:tcW w:w="4180" w:type="dxa"/>
            <w:vAlign w:val="bottom"/>
            <w:tcBorders>
              <w:top w:val="single" w:sz="8" w:color="CCEEFF"/>
            </w:tcBorders>
            <w:gridSpan w:val="2"/>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380" w:type="dxa"/>
            <w:vAlign w:val="bottom"/>
            <w:tcBorders>
              <w:bottom w:val="single" w:sz="8" w:color="0000EE"/>
            </w:tcBorders>
            <w:gridSpan w:val="6"/>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7"/>
              </w:rPr>
              <w:t>LEGAL MATTERS</w:t>
            </w:r>
          </w:p>
        </w:tc>
        <w:tc>
          <w:tcPr>
            <w:tcW w:w="9260" w:type="dxa"/>
            <w:vAlign w:val="bottom"/>
            <w:tcBorders>
              <w:bottom w:val="single" w:sz="8" w:color="CCEEFF"/>
            </w:tcBorders>
            <w:gridSpan w:val="1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640" w:type="dxa"/>
            <w:vAlign w:val="bottom"/>
            <w:gridSpan w:val="21"/>
          </w:tcPr>
          <w:p>
            <w:pPr>
              <w:spacing w:after="0" w:line="166" w:lineRule="exact"/>
              <w:rPr>
                <w:sz w:val="20"/>
                <w:szCs w:val="20"/>
                <w:color w:val="auto"/>
              </w:rPr>
            </w:pPr>
            <w:r>
              <w:rPr>
                <w:rFonts w:ascii="Times New Roman" w:cs="Times New Roman" w:eastAsia="Times New Roman" w:hAnsi="Times New Roman"/>
                <w:sz w:val="17"/>
                <w:szCs w:val="17"/>
                <w:color w:val="0000EE"/>
              </w:rPr>
              <w:t>EXPERTS</w:t>
            </w: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80" w:type="dxa"/>
            <w:vAlign w:val="bottom"/>
            <w:tcBorders>
              <w:top w:val="single" w:sz="8" w:color="0000EE"/>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7"/>
                <w:szCs w:val="17"/>
                <w:color w:val="0000EE"/>
                <w:w w:val="98"/>
              </w:rPr>
              <w:t>INDEX TO FINANCIAL STATEMENTS</w:t>
            </w:r>
          </w:p>
        </w:tc>
        <w:tc>
          <w:tcPr>
            <w:tcW w:w="720" w:type="dxa"/>
            <w:vAlign w:val="bottom"/>
            <w:tcBorders>
              <w:top w:val="single" w:sz="8" w:color="0000EE"/>
            </w:tcBorders>
            <w:gridSpan w:val="2"/>
          </w:tcPr>
          <w:p>
            <w:pPr>
              <w:spacing w:after="0"/>
              <w:rPr>
                <w:sz w:val="14"/>
                <w:szCs w:val="14"/>
                <w:color w:val="auto"/>
              </w:rPr>
            </w:pPr>
          </w:p>
        </w:tc>
        <w:tc>
          <w:tcPr>
            <w:tcW w:w="7040" w:type="dxa"/>
            <w:vAlign w:val="bottom"/>
            <w:tcBorders>
              <w:top w:val="single" w:sz="8" w:color="CCEEFF"/>
            </w:tcBorders>
            <w:gridSpan w:val="5"/>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prospectus. We have not authorized any other person to provide you with information different from or in addition to that contained in this prospectus, and we take no responsibility for any other information others may give you. If anyone provides you with different or inconsistent information, you should not rely on it. We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As used in this prospectus, unless the context indicates or otherwise requires, “the Company,” “our Company,” “we,” “us,” and “our” refer to Azitra, Inc., a Delaware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INDUSTRY AND MARKET DATA</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This prospectus, particularly the section “Business,” contains observations, statistical data, estimates, and forecasts that are based on independent industry, government and non-government organization publications or other publicly available information, as well as other information based on our internal sources. Although we believe that the third-party sources referred to in this prospectus are reliable, estimates as they relate to projections involve numerous assumptions, are subject to risks and uncertainties, and are subject to change based on various factors, including those discussed under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prospectus. These and other factors could cause results to differ materially from those expressed in the estimates made by the independent parties and by 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 w:name="page4"/>
    <w:bookmarkEnd w:id="3"/>
    <w:p>
      <w:pPr>
        <w:ind w:firstLine="613"/>
        <w:spacing w:after="0" w:line="282" w:lineRule="auto"/>
        <w:rPr>
          <w:sz w:val="20"/>
          <w:szCs w:val="20"/>
          <w:color w:val="auto"/>
        </w:rPr>
      </w:pPr>
      <w:r>
        <w:rPr>
          <w:rFonts w:ascii="Times New Roman" w:cs="Times New Roman" w:eastAsia="Times New Roman" w:hAnsi="Times New Roman"/>
          <w:sz w:val="17"/>
          <w:szCs w:val="17"/>
          <w:color w:val="auto"/>
        </w:rPr>
        <w:t>Certain information in the text of this prospectus is contained in independent industry government and non-governmental organizational publications. The sources of these publications are provided below:</w:t>
      </w:r>
    </w:p>
    <w:p>
      <w:pPr>
        <w:spacing w:after="0" w:line="149" w:lineRule="exact"/>
        <w:rPr>
          <w:sz w:val="20"/>
          <w:szCs w:val="20"/>
          <w:color w:val="auto"/>
        </w:rPr>
      </w:pPr>
    </w:p>
    <w:p>
      <w:pPr>
        <w:ind w:left="1220" w:hanging="605"/>
        <w:spacing w:after="0" w:line="263"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Stacy and Belkaid Study, </w:t>
      </w:r>
      <w:r>
        <w:rPr>
          <w:rFonts w:ascii="Times New Roman" w:cs="Times New Roman" w:eastAsia="Times New Roman" w:hAnsi="Times New Roman"/>
          <w:sz w:val="17"/>
          <w:szCs w:val="17"/>
          <w:i w:val="1"/>
          <w:iCs w:val="1"/>
          <w:color w:val="auto"/>
        </w:rPr>
        <w:t>Apollo Stacy and Yasmine</w:t>
      </w:r>
      <w:r>
        <w:rPr>
          <w:rFonts w:ascii="Times New Roman" w:cs="Times New Roman" w:eastAsia="Times New Roman" w:hAnsi="Times New Roman"/>
          <w:sz w:val="17"/>
          <w:szCs w:val="17"/>
          <w:color w:val="auto"/>
        </w:rPr>
        <w:t xml:space="preserve"> Belkaid, Microbial Guardians of Skin Health. Science, 2019 Jan 18;363(6424):227-228. Doi: 10.1126/science.aat4326. PMID: 30655428</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Oh Study, Zhou W, Spoto M, Hardy R, Guan C, Fleming E, Larson PJ, Brown JS, Oh J. Host-Specific Evolutionary and Transmission Dynamics Shape the Functional Diversification of Staphylococcus epidermidis in Human Skin. Cell. 2020 Feb 6;180(3):454-470.e18. doi: 10.1016/j.cell.2020.01.006. Epub 2020 Jan 30. PMID: 32004459; PMCID</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Satoh Study, Satoh TK, Mellett M, Meier-Schiesser B, Fenini G, Otsuka A, Beer HD, Rordorf T, Maul JT, Hafner J, Navarini AA, Contassot E, French LE. IL-36γ drives skin toxicity induced by EGFR/MEK inhibition and commensal Cutibacterium acnes. J Clin Invest. 2020 Mar 2;130(3):1417-1430. doi: 10.1172/JCI128678. PMID: 31805013; PMCID: PMC7269569</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Barbati Study, Netherton Syndrome in Children: Management and Future Perspectives, Federica Barbati, Mattia Giovannini Teresa Oranges, Lorenzo Lodi, Simona Barni, Elio Novembre, Ermanno Baldo, Mario Cristofolini, Stefano Stagi, Silvia Ricci, Francesca Mori, Cesare Filippeschi, Chiara Azzari and Giuseppe Indol; Frontiers in Pediatrics, May 2021</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Sun Study, Netherton syndrome: A case report and review of the literature, Joannie D. Sun, MD, and Kenneth G. Linden, PhD, MD, International Journal of Dermatology 2006</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Orphanet, Netherton Syndrome, Orphanet: Netherton syndrome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431165</wp:posOffset>
            </wp:positionV>
            <wp:extent cx="7136130" cy="5621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621020"/>
                    </a:xfrm>
                    <a:prstGeom prst="rect">
                      <a:avLst/>
                    </a:prstGeom>
                    <a:noFill/>
                  </pic:spPr>
                </pic:pic>
              </a:graphicData>
            </a:graphic>
          </wp:anchor>
        </w:drawing>
        <w:t>PROSPECTUS SUMMARY</w:t>
      </w:r>
    </w:p>
    <w:p>
      <w:pPr>
        <w:spacing w:after="0" w:line="213"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appearing elsewhere in this prospectus. Investing in our common stock involves a high degree of risk. Because it is only a summary, it does not contain all of the information that you should consider before investing in our common stock and it is qualified in its entirety by, and should be read in conjunction with, the more detailed information appearing elsewhere in this prospectus. Before you decide to invest in our common stock, you should read the entire prospectus carefully, including “Risk Factors” beginning on page 11 and the financial statements and related notes included in this prospectus.</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On May 17, 2023, we effected a forward stock split at a ratio of 7.1-for-1. All share and share price information in this prospectus have been adjusted to give effect to the forward stock split.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 like molecules. The platform also utilizes a licensed genetic engineering technology, which can enable the transformation of previously genetically intractable strains. Our initial focus is on the development of genetically engineered strains of </w:t>
      </w:r>
      <w:r>
        <w:rPr>
          <w:rFonts w:ascii="Times New Roman" w:cs="Times New Roman" w:eastAsia="Times New Roman" w:hAnsi="Times New Roman"/>
          <w:sz w:val="17"/>
          <w:szCs w:val="17"/>
          <w:i w:val="1"/>
          <w:iCs w:val="1"/>
          <w:color w:val="auto"/>
        </w:rPr>
        <w:t>Staphylococcus epidermidis, or S. epidermidis</w:t>
      </w:r>
      <w:r>
        <w:rPr>
          <w:rFonts w:ascii="Times New Roman" w:cs="Times New Roman" w:eastAsia="Times New Roman" w:hAnsi="Times New Roman"/>
          <w:sz w:val="17"/>
          <w:szCs w:val="17"/>
          <w:color w:val="auto"/>
        </w:rPr>
        <w:t>, which we consider to be an optimal therapeutic candidate species for engineering of dermatologic therapies. The particular species demonstrates a number of well-described properties in the skin. As of the date of this prospectus, we have identified among our microbial library over 60 distinct bacterial species that we believe are capable of being engineered to create living organisms or engineered proteins with significant therapeutic effect.</w:t>
      </w:r>
    </w:p>
    <w:p>
      <w:pPr>
        <w:spacing w:after="0" w:line="18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a pioneer in genetically engineering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product candidates, including:</w:t>
      </w:r>
    </w:p>
    <w:p>
      <w:pPr>
        <w:spacing w:after="0" w:line="163" w:lineRule="exact"/>
        <w:rPr>
          <w:sz w:val="20"/>
          <w:szCs w:val="20"/>
          <w:color w:val="auto"/>
        </w:rPr>
      </w:pPr>
    </w:p>
    <w:p>
      <w:pPr>
        <w:jc w:val="both"/>
        <w:ind w:left="1220" w:right="20" w:hanging="617"/>
        <w:spacing w:after="0" w:line="25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ATR-12</w:t>
      </w:r>
      <w:r>
        <w:rPr>
          <w:rFonts w:ascii="Times New Roman" w:cs="Times New Roman" w:eastAsia="Times New Roman" w:hAnsi="Times New Roman"/>
          <w:sz w:val="17"/>
          <w:szCs w:val="17"/>
          <w:color w:val="auto"/>
        </w:rPr>
        <w:t>, a genetically modified strain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treating the orphan disease, Netherton syndrome, a chronic and sometimes fatal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disease of the skin estimated to affect approximately one to nine in every 100,000, but its prevalence may be underestimated due to misdiagnosis caused by similarities to other skin diseases. We received Pediatric Rare Disease Designation for ATR-12 by the United States Food and Drug Administration, or FDA, in 2019. In December 2022, we submitted an investigational new drug application, or IND, for a Phase 1b clinical trial of ATR-12 in Netherton syndrome patients, and on January 27, 2023, we received notification from the FDA that the “study may proceed” with respect to the proposed Phase 1b clinical trial. We commenced our Phase 1b‌ clinical trial in December 2023 and expect to report initial safety results in the second half of 2024.</w:t>
      </w:r>
    </w:p>
    <w:p>
      <w:pPr>
        <w:spacing w:after="0" w:line="2" w:lineRule="exact"/>
        <w:rPr>
          <w:rFonts w:ascii="Times New Roman" w:cs="Times New Roman" w:eastAsia="Times New Roman" w:hAnsi="Times New Roman"/>
          <w:sz w:val="17"/>
          <w:szCs w:val="17"/>
          <w:color w:val="auto"/>
        </w:rPr>
      </w:pPr>
    </w:p>
    <w:p>
      <w:pPr>
        <w:jc w:val="both"/>
        <w:ind w:left="1220" w:right="20" w:hanging="617"/>
        <w:spacing w:after="0" w:line="250"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ATR-04</w:t>
      </w:r>
      <w:r>
        <w:rPr>
          <w:rFonts w:ascii="Times New Roman" w:cs="Times New Roman" w:eastAsia="Times New Roman" w:hAnsi="Times New Roman"/>
          <w:sz w:val="17"/>
          <w:szCs w:val="17"/>
          <w:color w:val="auto"/>
        </w:rPr>
        <w:t>, a genetically modified strain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treating the papulopustular rash experienced by cancer patients undergoing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epidermal growth factor receptor inhibitor, or EGFRi, targeted therapy. We intend to submit an IND for a Phase 1b clinical trial in certain cancer patients undergoing EGFRi targeted therapy by the first half of 2024. Subject to FDA clearance of our IND, we expect to commence our Phase 1b clinical trial in the second half of 2024.</w:t>
      </w:r>
    </w:p>
    <w:p>
      <w:pPr>
        <w:spacing w:after="0" w:line="2" w:lineRule="exact"/>
        <w:rPr>
          <w:rFonts w:ascii="Times New Roman" w:cs="Times New Roman" w:eastAsia="Times New Roman" w:hAnsi="Times New Roman"/>
          <w:sz w:val="17"/>
          <w:szCs w:val="17"/>
          <w:color w:val="auto"/>
        </w:rPr>
      </w:pPr>
    </w:p>
    <w:p>
      <w:pPr>
        <w:jc w:val="both"/>
        <w:ind w:left="1220" w:right="20" w:hanging="617"/>
        <w:spacing w:after="0" w:line="256"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ATR-01</w:t>
      </w:r>
      <w:r>
        <w:rPr>
          <w:rFonts w:ascii="Times New Roman" w:cs="Times New Roman" w:eastAsia="Times New Roman" w:hAnsi="Times New Roman"/>
          <w:sz w:val="17"/>
          <w:szCs w:val="17"/>
          <w:color w:val="auto"/>
        </w:rPr>
        <w:t>, an engineered recombinant human filaggrin protein for treating ichthyosis vulgaris, a chronic, xerotic (abnormally dry), scaly skin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disease with an estimated incidence and prevalence of 1 in 250, which suggests a total patient population of 1.3 million in the United States. We are planning to complete lead optimization and IND-enabling studies in 2024 to support an IND filing target in mid-2025.</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85" w:right="479" w:bottom="1440" w:gutter="0" w:footer="0" w:header="0"/>
        </w:sectPr>
      </w:pPr>
    </w:p>
    <w:bookmarkStart w:id="5" w:name="page6"/>
    <w:bookmarkEnd w:id="5"/>
    <w:p>
      <w:pPr>
        <w:jc w:val="both"/>
        <w:ind w:left="1220" w:right="20" w:hanging="617"/>
        <w:spacing w:after="0" w:line="256"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414655</wp:posOffset>
            </wp:positionV>
            <wp:extent cx="7136130" cy="7014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014845"/>
                    </a:xfrm>
                    <a:prstGeom prst="rect">
                      <a:avLst/>
                    </a:prstGeom>
                    <a:noFill/>
                  </pic:spPr>
                </pic:pic>
              </a:graphicData>
            </a:graphic>
          </wp:anchor>
        </w:drawing>
        <w:t>Two separate strains of bacterial microbes are being investigated and developed by us and Bayer Consumer Care AG, the consumer products division of Bayer AG, or Bayer, the international life science company pursuant to a Joint Development Agreement, or JDA, entered into between the parties in December 2019. Under the terms of the JDA, we are responsible for testing our library of bacterial strains and their natural products for key preclinical properties. After screening through hundreds of strains, we and Bayer have selected two particular strains to move forward into further development. Bayer holds the exclusive option to license the patent rights to these strains. In December 2020, Bayer purchased $8 million of our Series B preferred stock, which converted into 1,449,743 shares of our common stock, representing approximately 12.0% of our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also have established partnerships with teams from Carnegie Mellon University and the Fred Hutchinson Cancer Center, or Fred Hutch, two of the premier academic centers in the United States. Our collaboration with the Carnegie Mellon based team takes advantage of the power of whole genome sequencing. This partnership is mining our proprietary library of bacterial strains for novel, drug-like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 like structures.</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hold an exclusive, worldwide license from Fred Hutch regarding the use of its patented SyngenicDNA Minicircle Plasmid, or SyMPL, technologies for all fields of genetic engineering, including to discover, develop and commercialize engineered microbial therapies and microbial-derived peptides and proteins for skin diseases. We are utilizing our licensed patent rights to build plasmids in order to make genetic transformations that have never been previously achieved. Our collaboration with Fred Hutch is led by Dr. Christopher Johnston, an expert in microbial engineering, and the innovator behind the SyMPL technology.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Bayer Partnership</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In December 2019, we entered into a Joint Development Agreement, or JDA, with Bayer pursuant to which we agreed to the joint development of certain strains selected from our proprietary microbial library. We and Bayer have agreed to cooperate in the identification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characterization of microbial strains for topical formulations, which we intend to develop as potential over-the-counter cosmetic products. Bayer paid us a one-time payment upon execution of the JDA and has agreed to reimburse us for our development costs. In October 2021, Bayer expanded the option agreement and paid us a second fee for additional characterization work. We have granted Bayer an option to acquire an exclusive royalty bearing license for up to six strains subject to development activities under the JDA, including an exclusive royalty bearing license to any related patent rights. Bayer has an option to acquire the exclusive license rights for a period of six months following our delivery of the results of the JDA development activities to Bayer. After screening through hundreds of strains, we and Bayer have selected two particular strains to move forward with in vitro and ex vivo characterization.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63" w:right="479" w:bottom="1440" w:gutter="0" w:footer="0" w:header="0"/>
        </w:sectPr>
      </w:pPr>
    </w:p>
    <w:bookmarkStart w:id="6" w:name="page7"/>
    <w:bookmarkEnd w:id="6"/>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414655</wp:posOffset>
            </wp:positionV>
            <wp:extent cx="7136130" cy="5215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215890"/>
                    </a:xfrm>
                    <a:prstGeom prst="rect">
                      <a:avLst/>
                    </a:prstGeom>
                    <a:noFill/>
                  </pic:spPr>
                </pic:pic>
              </a:graphicData>
            </a:graphic>
          </wp:anchor>
        </w:drawing>
        <w:t>In September 2020, Bayer’s venture capital group, LEAPS by Bayer, purchased $8 million of our Series B preferred stock, which converted into 1,449,743 shares of our common stock, representing approximately 12.0% of our outstanding shares of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Beyond our three lead product candidates and collaboration with Bayer, our goal is to develop a broad portfolio of product candidates focused on expanding the application of our platforms for precision dermatology. We believe that we have established a unique position in advancing the development of biologics for precision dermatology.</w:t>
      </w:r>
    </w:p>
    <w:p>
      <w:pPr>
        <w:spacing w:after="0" w:line="167" w:lineRule="exact"/>
        <w:rPr>
          <w:sz w:val="20"/>
          <w:szCs w:val="20"/>
          <w:color w:val="auto"/>
        </w:rPr>
      </w:pPr>
    </w:p>
    <w:p>
      <w:pPr>
        <w:jc w:val="both"/>
        <w:ind w:right="20" w:firstLine="613"/>
        <w:spacing w:after="0" w:line="282" w:lineRule="auto"/>
        <w:rPr>
          <w:sz w:val="20"/>
          <w:szCs w:val="20"/>
          <w:color w:val="auto"/>
        </w:rPr>
      </w:pPr>
      <w:r>
        <w:rPr>
          <w:rFonts w:ascii="Times New Roman" w:cs="Times New Roman" w:eastAsia="Times New Roman" w:hAnsi="Times New Roman"/>
          <w:sz w:val="17"/>
          <w:szCs w:val="17"/>
          <w:color w:val="auto"/>
        </w:rPr>
        <w:t>We intend to create a broad portfolio of product candidates for precision dermatology through our development of genetically engineered proteins selected from our proprietary microbial library of approximately 1,500 unique bacterial strains. Our strategy is as follows:</w:t>
      </w:r>
    </w:p>
    <w:p>
      <w:pPr>
        <w:spacing w:after="0" w:line="149" w:lineRule="exact"/>
        <w:rPr>
          <w:sz w:val="20"/>
          <w:szCs w:val="20"/>
          <w:color w:val="auto"/>
        </w:rPr>
      </w:pPr>
    </w:p>
    <w:p>
      <w:pPr>
        <w:jc w:val="both"/>
        <w:ind w:left="1220" w:right="20" w:hanging="617"/>
        <w:spacing w:after="0" w:line="257"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Build a sustainable precision dermatology company</w:t>
      </w:r>
      <w:r>
        <w:rPr>
          <w:rFonts w:ascii="Times New Roman" w:cs="Times New Roman" w:eastAsia="Times New Roman" w:hAnsi="Times New Roman"/>
          <w:sz w:val="17"/>
          <w:szCs w:val="17"/>
          <w:color w:val="auto"/>
        </w:rPr>
        <w:t>. Our goal is to build a leading precision dermatology company with a sustainable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pipeline of product candidates. To that end, we are focused on rapidly advancing our current pipeline of live biotherapeutic candidates while actively developing additional product candidates. Each of our current product candidates are proprietary and subject to pending patent applications. We expect that most of our genetically engineered product candidates we develop will be eligible for patent protection.</w:t>
      </w:r>
    </w:p>
    <w:p>
      <w:pPr>
        <w:jc w:val="both"/>
        <w:ind w:left="1220" w:right="20" w:hanging="617"/>
        <w:spacing w:after="0" w:line="250"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Advance our lead product candidates, ATR-12 and ATR-04, through clinical trials</w:t>
      </w:r>
      <w:r>
        <w:rPr>
          <w:rFonts w:ascii="Times New Roman" w:cs="Times New Roman" w:eastAsia="Times New Roman" w:hAnsi="Times New Roman"/>
          <w:sz w:val="17"/>
          <w:szCs w:val="17"/>
          <w:color w:val="auto"/>
        </w:rPr>
        <w:t>. We expect to report initial safety results of our Phase 1b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clinical trial for our ATR-12 in Netherton syndrome patients in the second half of 2024 and are currently planning to commence a Phase 1b trial of our ATR-04 in certain cancer patients undergoing EGFRi therapy in the second half of 2024. We have a cleared IND for ATR-12 and expect to file an IND for ATR-04 in the first half of 2024.</w:t>
      </w:r>
    </w:p>
    <w:p>
      <w:pPr>
        <w:spacing w:after="0" w:line="2" w:lineRule="exact"/>
        <w:rPr>
          <w:rFonts w:ascii="Times New Roman" w:cs="Times New Roman" w:eastAsia="Times New Roman" w:hAnsi="Times New Roman"/>
          <w:sz w:val="17"/>
          <w:szCs w:val="17"/>
          <w:color w:val="auto"/>
        </w:rPr>
      </w:pPr>
    </w:p>
    <w:p>
      <w:pPr>
        <w:jc w:val="both"/>
        <w:ind w:left="1220" w:right="20" w:hanging="617"/>
        <w:spacing w:after="0" w:line="250"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Broaden our platform by selectively exploring strategic partnerships that maximize the potential of our precision dermatology programs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intend 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We may also broaden the reach of our platform by selectively in-licensing technologies or product candidates. In addition, we will consider potentially out-licensing certain of our proprietary technologies for indications and industries that we are not pursuing. We believe our genetic engineering techniques and technologies have applicability outside of the field of medicine, including cosmetics and in the generation of clean fuels and bioremediation.</w:t>
      </w:r>
    </w:p>
    <w:p>
      <w:pPr>
        <w:spacing w:after="0" w:line="4" w:lineRule="exact"/>
        <w:rPr>
          <w:rFonts w:ascii="Times New Roman" w:cs="Times New Roman" w:eastAsia="Times New Roman" w:hAnsi="Times New Roman"/>
          <w:sz w:val="17"/>
          <w:szCs w:val="17"/>
          <w:color w:val="auto"/>
        </w:rPr>
      </w:pPr>
    </w:p>
    <w:p>
      <w:pPr>
        <w:jc w:val="both"/>
        <w:ind w:left="1220" w:right="20" w:hanging="617"/>
        <w:spacing w:after="0" w:line="250"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Leverage our academic partnerships</w:t>
      </w:r>
      <w:r>
        <w:rPr>
          <w:rFonts w:ascii="Times New Roman" w:cs="Times New Roman" w:eastAsia="Times New Roman" w:hAnsi="Times New Roman"/>
          <w:sz w:val="17"/>
          <w:szCs w:val="17"/>
          <w:color w:val="auto"/>
        </w:rPr>
        <w:t>. We currently have partnerships with investigators at the Fred Hutchinson Cancer Center, Yale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University, Jackson Laboratory for Genomic Medicine, and Carnegie Mellon University. We expect to leverage these partnerships and potentially expand them or form other academic partnerships to bolster our engineering platforms and expand our research and development pipeline.</w:t>
      </w:r>
    </w:p>
    <w:p>
      <w:pPr>
        <w:spacing w:after="0" w:line="2" w:lineRule="exact"/>
        <w:rPr>
          <w:rFonts w:ascii="Times New Roman" w:cs="Times New Roman" w:eastAsia="Times New Roman" w:hAnsi="Times New Roman"/>
          <w:sz w:val="17"/>
          <w:szCs w:val="17"/>
          <w:color w:val="auto"/>
        </w:rPr>
      </w:pPr>
    </w:p>
    <w:p>
      <w:pPr>
        <w:jc w:val="both"/>
        <w:ind w:left="1220" w:right="20" w:hanging="617"/>
        <w:spacing w:after="0" w:line="252"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Expand on our other potential product candidates</w:t>
      </w:r>
      <w:r>
        <w:rPr>
          <w:rFonts w:ascii="Times New Roman" w:cs="Times New Roman" w:eastAsia="Times New Roman" w:hAnsi="Times New Roman"/>
          <w:sz w:val="17"/>
          <w:szCs w:val="17"/>
          <w:color w:val="auto"/>
        </w:rPr>
        <w:t>. Beyond our three lead product candidates, our goal is to develop a broad portfolio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a microbial genetic technology that analyzes, predicts and engineers the proteins, peptides and molecules made by skin microbes. Our ability to genetically engineer intractable microbial species is uniquely leveraged by our exclusive license to the SyMPL technology.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63"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414655</wp:posOffset>
            </wp:positionV>
            <wp:extent cx="7136130" cy="5993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5993765"/>
                    </a:xfrm>
                    <a:prstGeom prst="rect">
                      <a:avLst/>
                    </a:prstGeom>
                    <a:noFill/>
                  </pic:spPr>
                </pic:pic>
              </a:graphicData>
            </a:graphic>
          </wp:anchor>
        </w:drawing>
        <w:t>Our Intellectual Property</w:t>
      </w:r>
    </w:p>
    <w:p>
      <w:pPr>
        <w:spacing w:after="0" w:line="217" w:lineRule="exact"/>
        <w:rPr>
          <w:sz w:val="20"/>
          <w:szCs w:val="20"/>
          <w:color w:val="auto"/>
        </w:rPr>
      </w:pPr>
    </w:p>
    <w:p>
      <w:pPr>
        <w:jc w:val="both"/>
        <w:ind w:right="20" w:firstLine="613"/>
        <w:spacing w:after="0" w:line="282" w:lineRule="auto"/>
        <w:rPr>
          <w:sz w:val="20"/>
          <w:szCs w:val="20"/>
          <w:color w:val="auto"/>
        </w:rPr>
      </w:pPr>
      <w:r>
        <w:rPr>
          <w:rFonts w:ascii="Times New Roman" w:cs="Times New Roman" w:eastAsia="Times New Roman" w:hAnsi="Times New Roman"/>
          <w:sz w:val="17"/>
          <w:szCs w:val="17"/>
          <w:color w:val="auto"/>
        </w:rPr>
        <w:t>As of the date of this prospectus, we own or exclusively license three issued U.S. patents, 12 pending U.S. patent applications, three pending PCT application and 59 other foreign patents and patent applications that are important to the development of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Leadership Team</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are led by Francisco D. Salva, our chief executive officer, and Travis Whitfill, our co-founder and chief operating officer, who have more than 35 years of combined experience in the management of biotechnology companies and healthcare investing. Mr. Salva was previously a co-founder of Acerta Pharma, which was sold to AstraZeneca for approximately $6.3 billion in a staged acquisition in 2016. He also worked on the turnaround of Pharmacyclics, which subsequently sold to Abbvie for approximately $21 billion in 2015. Before that, Mr. Salva spent almost a decade in life sciences venture capital. Mr. Whitfill served as associate research scientist and serves as assistant professor adjunct at Yale University with appointments in the Departments of Pediatrics and Emergency Medicine. He spent nearly a decade in venture capital as a partner in a biotech-focused venture capital fund, Bios Partners. He has led numerous grant-funded projects, holds nearly a dozen patents and has co-authored over 60 publications. Our board of directors, or Board, is comprised of renowned group of senior executives, scientists and investors in the biotechnology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are a pioneer in genetically engineering bacteria for therapeutic use in dermatology clinical trials. We have built a proprietary platform that includes a microbial library comprised of approximately 1,500 unique bacterial strains that are screened for therapeutic characteristics as well as lead drug candidates. Furthermore, we have exclusively licensed a novel technology, which potentially enables the genetic transformation of previously intractable bacterial microbes. The history of recombinant protein engineering in biotech has traditionally been limited to less than 20 species. Our licensed technology opens up the potential to genetically engineer thousands of microbial species to build proteins and peptides that have never been previously built. Our management team has significant experience in discovering, developing, manufacturing and commercializing therapeutics. The members of our leadership team have specialized expertise developed at companies including Pharmacyclics, Acerta Pharma, Castle Creek Biosciences, VYNE Therapeutics (fka Menlo Therapeutics), Revance Therapeutics, Biogen, Novartis and Connetics Corp.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 Opportunity</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believe there are significant market opportunities to capture in each of our addressable markets. The dermatology market itself has shown considerable growth over the last decade and is predicted to continue to grow. According to Vision Research Reports, the dermatology drug market surpassed $17 billion in 2021 and is expected to grow at a compound annual growth rate of 8.8% through 2030. Our first product candidate to emerge from our platform focuses on the orphan indication of Netherton syndrome. Based on the Barbati and Sun Studies, we believe that this product candidate represents a potential $250 million global sales opportunity by mid-2030. Our second product candidate focuses on papulopustular rash due to EGFR inhibitors. We believe this product candidate represents a potential $1 billion global sales opportunity by 2030. The diseases we intend to target are well characterized, often by a monogenic genetic mutation. Additionally, the era of genomic sequencing has ushered in unprecedented progress in genetic testing. The defined molecular pathophysiology of over 100 rare skin diseases has now been defined.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Corporate Information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were incorporated under the laws of the state of Delaware on January 2, 2014. Our principal executive offices are located at 21 Business Park Drive, Branford, Connecticut 06405, and our telephone number is (203) 646-6446. Our website address is www.azitrainc.com.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59" w:right="479" w:bottom="1440" w:gutter="0" w:footer="0" w:header="0"/>
        </w:sectPr>
      </w:pPr>
    </w:p>
    <w:bookmarkStart w:id="8" w:name="page9"/>
    <w:bookmarkEnd w:id="8"/>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414655</wp:posOffset>
            </wp:positionV>
            <wp:extent cx="7136130" cy="5864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5864225"/>
                    </a:xfrm>
                    <a:prstGeom prst="rect">
                      <a:avLst/>
                    </a:prstGeom>
                    <a:noFill/>
                  </pic:spPr>
                </pic:pic>
              </a:graphicData>
            </a:graphic>
          </wp:anchor>
        </w:drawing>
        <w:t>We own U.S. and foreign 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Placements of our Convertible Securities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Prior to our June 2023 initial public offering, or IPO, we have capitalized our operations through a series of private placements of our convertible preferred stock and convertible promissory notes, for the total gross proceeds of $39 million, all of which were converted into a total of 8,951,526 shares of our common stock upon the consummation of our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June 2023, the Company completed its IPO in which it issued and sold 1,500,000 shares of its common stock at a price to the public of $5.00 per share. The shares began trading on the NYSE American on June 16, 2023 under the symbol “AZTR.” The net proceeds received by the Company from the offering were $6.5 million, after deducting underwriting discounts, commissions and other offering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our Capitalization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May 17, 2023, we amended and restated our certificate of incorporation to (i) increase our authorized common stock from 1,950,000 shares to 100,000,000 shares, (ii) change the par value of our capital stock from $0.01 to $0.0001, (iii) change our corporate name from “Azitra Inc” to “Azitra, Inc.” and (iv) effect a 7.1-for-1 forward stock split of our outstanding common stock, or the Stock Split.</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Except as otherwise indicated herein, all share and share price information in this prospectus have been adjusted to give effect to the Stock Split.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w:t>
      </w:r>
    </w:p>
    <w:p>
      <w:pPr>
        <w:spacing w:after="0" w:line="171" w:lineRule="exact"/>
        <w:rPr>
          <w:sz w:val="20"/>
          <w:szCs w:val="20"/>
          <w:color w:val="auto"/>
        </w:rPr>
      </w:pPr>
    </w:p>
    <w:p>
      <w:pPr>
        <w:ind w:left="1220" w:right="20" w:hanging="617"/>
        <w:spacing w:after="0" w:line="261" w:lineRule="auto"/>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our internal control over financial reporting be attested to by our independent registered public accounting firm pursuant to Section 404 of the Sarbanes-Oxley Act of 2002;</w:t>
      </w:r>
    </w:p>
    <w:p>
      <w:pPr>
        <w:ind w:left="1220" w:hanging="617"/>
        <w:spacing w:after="0"/>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requirements related to the disclosure of executive compensation in this prospectus and in our periodic reports and proxy statements;</w:t>
      </w:r>
    </w:p>
    <w:p>
      <w:pPr>
        <w:spacing w:after="0" w:line="8" w:lineRule="exact"/>
        <w:rPr>
          <w:rFonts w:ascii="Times New Roman" w:cs="Times New Roman" w:eastAsia="Times New Roman" w:hAnsi="Times New Roman"/>
          <w:sz w:val="17"/>
          <w:szCs w:val="17"/>
          <w:color w:val="auto"/>
        </w:rPr>
      </w:pPr>
    </w:p>
    <w:p>
      <w:pPr>
        <w:ind w:left="1220" w:hanging="617"/>
        <w:spacing w:after="0"/>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we hold a nonbinding advisory vote on executive compensation and any golden parachute payments; and</w:t>
      </w:r>
    </w:p>
    <w:p>
      <w:pPr>
        <w:spacing w:after="0" w:line="8" w:lineRule="exact"/>
        <w:rPr>
          <w:rFonts w:ascii="Times New Roman" w:cs="Times New Roman" w:eastAsia="Times New Roman" w:hAnsi="Times New Roman"/>
          <w:sz w:val="17"/>
          <w:szCs w:val="17"/>
          <w:color w:val="auto"/>
        </w:rPr>
      </w:pPr>
    </w:p>
    <w:p>
      <w:pPr>
        <w:ind w:left="1220" w:right="20" w:hanging="617"/>
        <w:spacing w:after="0" w:line="261" w:lineRule="auto"/>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delay compliance with new or revised financial accounting standards until private companies are required to comply with the new or revised financial accounting standard.</w:t>
      </w:r>
    </w:p>
    <w:p>
      <w:pPr>
        <w:spacing w:after="0" w:line="17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may take advantage of the exemptions under the JOBS Act discussed above until we are no longer an emerging growth company. We will remain an emerging growth company until the earliest to occur of (1) the last day of the fiscal year in which we have $1.235 billion or more in annual revenue; (2) the date we qualify as a “large accelerated filer,” with at least $700 million of equity securities held by non-affiliates; (3) the date on which we have issued, in any three-year period, more than $1.0 billion in non-convertible debt securities; or (4) the last day of the fiscal year ending after the fifth anniversary of the IPO.</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63" w:right="479" w:bottom="1440" w:gutter="0" w:footer="0" w:header="0"/>
        </w:sectPr>
      </w:pPr>
    </w:p>
    <w:bookmarkStart w:id="9" w:name="page10"/>
    <w:bookmarkEnd w:id="9"/>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414655</wp:posOffset>
            </wp:positionV>
            <wp:extent cx="7136130" cy="2233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233295"/>
                    </a:xfrm>
                    <a:prstGeom prst="rect">
                      <a:avLst/>
                    </a:prstGeom>
                    <a:noFill/>
                  </pic:spPr>
                </pic:pic>
              </a:graphicData>
            </a:graphic>
          </wp:anchor>
        </w:drawing>
        <w:t>We may choose to take advantage of some, but not all, of the available benefits under the JOBS Act. We have chosen to take advantage of all of the other exemptions discussed above. Accordingly, the information contained herein and in our subsequent filing with the SEC may be different than the information you receive from other public companies in which you hold stock.</w:t>
      </w:r>
    </w:p>
    <w:p>
      <w:pPr>
        <w:spacing w:after="0" w:line="16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For certain risks related to our status as an emerging growth company, see the disclosure elsewhere in this prospectus under “</w:t>
      </w:r>
      <w:r>
        <w:rPr>
          <w:rFonts w:ascii="Times New Roman" w:cs="Times New Roman" w:eastAsia="Times New Roman" w:hAnsi="Times New Roman"/>
          <w:sz w:val="17"/>
          <w:szCs w:val="17"/>
          <w:i w:val="1"/>
          <w:iCs w:val="1"/>
          <w:color w:val="auto"/>
        </w:rPr>
        <w:t>Risk Factors—Risks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this Offering and Owning Our Common Stock—We are an ‘emerging growth company’ under the JOBS Act and we cannot be certain if the reduced disclosure requirements applicable to emerging growth companies will make our common stock less attractive to investors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Implications of Being a Smaller Reporting Company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equals or exceeds $700 million as of the end of that year’s second fiscal quarter.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63" w:right="47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432"/>
        </w:trPr>
        <w:tc>
          <w:tcPr>
            <w:tcW w:w="3800" w:type="dxa"/>
            <w:vAlign w:val="bottom"/>
            <w:tcBorders>
              <w:top w:val="single" w:sz="8" w:color="auto"/>
              <w:left w:val="single" w:sz="8" w:color="auto"/>
            </w:tcBorders>
          </w:tcPr>
          <w:p>
            <w:pPr>
              <w:spacing w:after="0"/>
              <w:rPr>
                <w:sz w:val="24"/>
                <w:szCs w:val="24"/>
                <w:color w:val="auto"/>
              </w:rPr>
            </w:pPr>
          </w:p>
        </w:tc>
        <w:tc>
          <w:tcPr>
            <w:tcW w:w="744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7"/>
                <w:szCs w:val="17"/>
                <w:b w:val="1"/>
                <w:bCs w:val="1"/>
                <w:color w:val="auto"/>
              </w:rPr>
              <w:t>THE OFFERING</w:t>
            </w:r>
          </w:p>
        </w:tc>
      </w:tr>
      <w:tr>
        <w:trPr>
          <w:trHeight w:val="408"/>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Issuer</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Azitra, Inc.</w:t>
            </w:r>
          </w:p>
        </w:tc>
      </w:tr>
      <w:tr>
        <w:trPr>
          <w:trHeight w:val="408"/>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Common stock offered</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16,667,000 shares</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28,764,643 shares (or 31,264,643 shares if the underwriters’ option to purchase additional shares is</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exercised in full) of common stock.</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Over-allotment option</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We have granted the underwriters a 45 day option from the date of this prospectus, exercisable one or</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more times in whole or in part, to purchase up to an additional 2,500,000 shares of common stock</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(approximately 15% of the total number of shares of common stock offered by us in the offering), solely</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to cover over-allotments, if any.</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Use of proceeds</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We estimate that we will receive net proceeds of approximately $4.25 million from our sale of common</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stock in this offering, or approximately $4.94 million if the underwriters exercise their over-allotment</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option in full,. We intend to use the net proceeds from this offering, along with our existing cash and</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cash equivalents, for clinical trials and product development, research and development, clinical</w:t>
            </w:r>
          </w:p>
        </w:tc>
      </w:tr>
      <w:tr>
        <w:trPr>
          <w:trHeight w:val="200"/>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manufacturing as well as for working capital and other general corporate purposes. See the section titled</w:t>
            </w:r>
          </w:p>
        </w:tc>
      </w:tr>
      <w:tr>
        <w:trPr>
          <w:trHeight w:val="208"/>
        </w:trPr>
        <w:tc>
          <w:tcPr>
            <w:tcW w:w="380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in this prospectus for a more complete description of the intended use of processed</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from this offering.</w:t>
            </w:r>
          </w:p>
        </w:tc>
      </w:tr>
      <w:tr>
        <w:trPr>
          <w:trHeight w:val="408"/>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Trading market and symbol</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Our common stock is listed on NYSE American under the symbol “AZTR.”</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Risk factors</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Investing in our common stock involves a high degree of risk. 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beginning on page 11 and the other information in this prospectus for a discussion of the factors you</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should consider carefully before you decide to invest in our common stock.</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Lock-up</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We have agreed, subject to certain exceptions, not to sell, offer, agree to sell, contract to sell,</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hypothecate, pledge, grant any option to purchase, make any short sale of, or otherwise dispose of or</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hedge, directly or indirectly, any shares of our capital stock or any securities convertible into or</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exercisable or exchangeable for shares of capital stock, for a period of ninety (90) days, after the date of</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this prospectus, without the prior written consent of the representative. In addition, our IPO, our officers</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and directors have agreed not to sell, offer, agree to sell, contract to sell, hypothecate, pledge, grant any</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option to purchase, make any short sale of, or otherwise dispose of or hedge, directly or indirectly, any</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shares of our capital stock or any securities convertible into or exercisable or exchangeable until August</w:t>
            </w:r>
          </w:p>
        </w:tc>
      </w:tr>
      <w:tr>
        <w:trPr>
          <w:trHeight w:val="200"/>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13, 2024, without the prior written consent of the representative. See the section of this prospectus</w:t>
            </w:r>
          </w:p>
        </w:tc>
      </w:tr>
      <w:tr>
        <w:trPr>
          <w:trHeight w:val="226"/>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entitled “</w:t>
            </w:r>
            <w:r>
              <w:rPr>
                <w:rFonts w:ascii="Times New Roman" w:cs="Times New Roman" w:eastAsia="Times New Roman" w:hAnsi="Times New Roman"/>
                <w:sz w:val="17"/>
                <w:szCs w:val="17"/>
                <w:i w:val="1"/>
                <w:iCs w:val="1"/>
                <w:color w:val="auto"/>
              </w:rPr>
              <w:t>Underwriting</w:t>
            </w:r>
            <w:r>
              <w:rPr>
                <w:rFonts w:ascii="Times New Roman" w:cs="Times New Roman" w:eastAsia="Times New Roman" w:hAnsi="Times New Roman"/>
                <w:sz w:val="17"/>
                <w:szCs w:val="17"/>
                <w:color w:val="auto"/>
              </w:rPr>
              <w:t>” for additional information.</w:t>
            </w:r>
          </w:p>
        </w:tc>
      </w:tr>
      <w:tr>
        <w:trPr>
          <w:trHeight w:val="206"/>
        </w:trPr>
        <w:tc>
          <w:tcPr>
            <w:tcW w:w="3800" w:type="dxa"/>
            <w:vAlign w:val="bottom"/>
            <w:tcBorders>
              <w:left w:val="single" w:sz="8" w:color="auto"/>
              <w:bottom w:val="single" w:sz="8" w:color="auto"/>
            </w:tcBorders>
          </w:tcPr>
          <w:p>
            <w:pPr>
              <w:spacing w:after="0"/>
              <w:rPr>
                <w:sz w:val="17"/>
                <w:szCs w:val="17"/>
                <w:color w:val="auto"/>
              </w:rPr>
            </w:pPr>
          </w:p>
        </w:tc>
        <w:tc>
          <w:tcPr>
            <w:tcW w:w="7440" w:type="dxa"/>
            <w:vAlign w:val="bottom"/>
            <w:tcBorders>
              <w:bottom w:val="single" w:sz="8" w:color="auto"/>
              <w:right w:val="single" w:sz="8" w:color="auto"/>
            </w:tcBorders>
          </w:tcPr>
          <w:p>
            <w:pPr>
              <w:spacing w:after="0"/>
              <w:rPr>
                <w:sz w:val="17"/>
                <w:szCs w:val="17"/>
                <w:color w:val="auto"/>
              </w:rPr>
            </w:pPr>
          </w:p>
        </w:tc>
      </w:tr>
      <w:tr>
        <w:trPr>
          <w:trHeight w:val="417"/>
        </w:trPr>
        <w:tc>
          <w:tcPr>
            <w:tcW w:w="38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7"/>
                <w:szCs w:val="17"/>
                <w:color w:val="auto"/>
              </w:rPr>
              <w:t>7</w:t>
            </w:r>
          </w:p>
        </w:tc>
      </w:tr>
    </w:tbl>
    <w:p>
      <w:pPr>
        <w:sectPr>
          <w:pgSz w:w="11900" w:h="16838" w:orient="portrait"/>
          <w:cols w:equalWidth="0" w:num="1">
            <w:col w:w="11240"/>
          </w:cols>
          <w:pgMar w:left="320" w:top="633" w:right="339" w:bottom="1440" w:gutter="0" w:footer="0" w:header="0"/>
        </w:sectPr>
      </w:pPr>
    </w:p>
    <w:bookmarkStart w:id="11" w:name="page12"/>
    <w:bookmarkEnd w:id="11"/>
    <w:p>
      <w:pPr>
        <w:ind w:left="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414655</wp:posOffset>
            </wp:positionV>
            <wp:extent cx="7136130" cy="2622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622550"/>
                    </a:xfrm>
                    <a:prstGeom prst="rect">
                      <a:avLst/>
                    </a:prstGeom>
                    <a:noFill/>
                  </pic:spPr>
                </pic:pic>
              </a:graphicData>
            </a:graphic>
          </wp:anchor>
        </w:drawing>
        <w:t>The number of shares of our common stock to be outstanding after this offering is based on 12,097,643 shares of our common stock outstanding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12, 2024, and excludes:</w:t>
      </w:r>
    </w:p>
    <w:p>
      <w:pPr>
        <w:spacing w:after="0" w:line="196" w:lineRule="exact"/>
        <w:rPr>
          <w:sz w:val="20"/>
          <w:szCs w:val="20"/>
          <w:color w:val="auto"/>
        </w:rPr>
      </w:pPr>
    </w:p>
    <w:p>
      <w:pPr>
        <w:ind w:left="1220" w:hanging="617"/>
        <w:spacing w:after="0" w:line="261"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1,288,255 shares of our common stock issuable upon exercise of outstanding options, with a weighted average exercise price of $1.36 per share, granted pursuant to our 2016 Stock Incentive Plan, or the 2016 Plan, and our 2023 Stock Incentive Plan, or the 2023 Plan;</w:t>
      </w:r>
    </w:p>
    <w:p>
      <w:pPr>
        <w:ind w:left="1220" w:hanging="617"/>
        <w:spacing w:after="0" w:line="250"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323,736 shares of our common stock issuable upon exercise of outstanding warrants, with a weighted average exercise price of $4.75 per share;</w:t>
      </w:r>
    </w:p>
    <w:p>
      <w:pPr>
        <w:spacing w:after="0" w:line="1" w:lineRule="exact"/>
        <w:rPr>
          <w:rFonts w:ascii="Times New Roman" w:cs="Times New Roman" w:eastAsia="Times New Roman" w:hAnsi="Times New Roman"/>
          <w:sz w:val="17"/>
          <w:szCs w:val="17"/>
          <w:color w:val="auto"/>
        </w:rPr>
      </w:pPr>
    </w:p>
    <w:p>
      <w:pPr>
        <w:ind w:left="1220" w:hanging="617"/>
        <w:spacing w:after="0"/>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2,500,000 shares of our common stock issuable pursuant to the underwriters’ over-allotment option;</w:t>
      </w:r>
    </w:p>
    <w:p>
      <w:pPr>
        <w:spacing w:after="0" w:line="8" w:lineRule="exact"/>
        <w:rPr>
          <w:rFonts w:ascii="Times New Roman" w:cs="Times New Roman" w:eastAsia="Times New Roman" w:hAnsi="Times New Roman"/>
          <w:sz w:val="17"/>
          <w:szCs w:val="17"/>
          <w:color w:val="auto"/>
        </w:rPr>
      </w:pPr>
    </w:p>
    <w:p>
      <w:pPr>
        <w:jc w:val="both"/>
        <w:ind w:left="1220" w:hanging="617"/>
        <w:spacing w:after="0" w:line="250"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666,680 shares issuable upon exercise of a warrant to be issued to the underwriter as part of its compensation in connection with this offering (up to 766,680 shares if the over-allotment option is exercised in full) at an exercise price of $0.375 per share (125% of the public offering price per share of the shares of common stock sold in this offering); and</w:t>
      </w:r>
    </w:p>
    <w:p>
      <w:pPr>
        <w:spacing w:after="0" w:line="1" w:lineRule="exact"/>
        <w:rPr>
          <w:rFonts w:ascii="Times New Roman" w:cs="Times New Roman" w:eastAsia="Times New Roman" w:hAnsi="Times New Roman"/>
          <w:sz w:val="17"/>
          <w:szCs w:val="17"/>
          <w:color w:val="auto"/>
        </w:rPr>
      </w:pPr>
    </w:p>
    <w:p>
      <w:pPr>
        <w:ind w:left="1220" w:hanging="617"/>
        <w:spacing w:after="0" w:line="261"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242,345 shares of our common stock reserved for future grants under our 2016 Plan and 1,960,000 shares of our common stock reserved for future grants under our 2023 Plan.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we indicate otherwise or unless the context otherwise requires, all information in this prospectus assumes the following:</w:t>
      </w:r>
    </w:p>
    <w:p>
      <w:pPr>
        <w:spacing w:after="0" w:line="213" w:lineRule="exact"/>
        <w:rPr>
          <w:sz w:val="20"/>
          <w:szCs w:val="20"/>
          <w:color w:val="auto"/>
        </w:rPr>
      </w:pPr>
    </w:p>
    <w:p>
      <w:pPr>
        <w:ind w:left="1220" w:hanging="617"/>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of outstanding warrants or options described above; and</w:t>
      </w:r>
    </w:p>
    <w:p>
      <w:pPr>
        <w:spacing w:after="0" w:line="26" w:lineRule="exact"/>
        <w:rPr>
          <w:rFonts w:ascii="Times New Roman" w:cs="Times New Roman" w:eastAsia="Times New Roman" w:hAnsi="Times New Roman"/>
          <w:sz w:val="17"/>
          <w:szCs w:val="17"/>
          <w:color w:val="auto"/>
        </w:rPr>
      </w:pPr>
    </w:p>
    <w:p>
      <w:pPr>
        <w:ind w:left="1220" w:hanging="617"/>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of the underwriters’ over-allotment option.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20"/>
          </w:cols>
          <w:pgMar w:left="480" w:top="863" w:right="4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business is subject to numerous risks, including risks that may prevent us from achieving our business objectives or adversely affect our business, results of operations, cash flows, and prospects. You should carefully consider the risks discussed below and further discussed in the section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immediately following this prospectus summary before investing in our common stock.</w:t>
      </w:r>
    </w:p>
    <w:p>
      <w:pPr>
        <w:spacing w:after="0" w:line="167" w:lineRule="exact"/>
        <w:rPr>
          <w:sz w:val="20"/>
          <w:szCs w:val="20"/>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early-stage clinical biopharmaceutical company with limited operating history;</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significant operating losses and anticipate continued operating losses for the foreseeable future;</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we will need additional financing to execute our business plan and fund operations, which additional financing may not be available on reasonable terms, or at all;</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and commercial utility of our microbial library and genetic engineering platform is uncertain and may never be realized;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are in early stages of development, and therefore they will require extensive additional preclinical and clinical testing;</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grow the size of our organization, and we may experience difficulties in managing this growth;</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have no sales and marketing organization;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completely dependent for the foreseeable future on third parties to manufacture our product candidates for commercial sale;</w:t>
      </w:r>
    </w:p>
    <w:p>
      <w:pPr>
        <w:spacing w:after="0" w:line="8"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model includes the potential out-licensing of strains from our proprietary microbial library or our product candidates to other pharmaceutical companies; however, technology licensing in the pharmaceutical industry is a lengthy process and subject to several risks and factors outside of our control;</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suffer with the loss of key personnel;</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product liability lawsuits are brought against us, we may incur substantial liabilities and may be required to limit commercialization of our product candidates;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operations could suffer in the event of information technology systems’ failures or security breaches;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from other biotechnology and pharmaceutical companies targeting medical dermatological indications;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is entirely dependent on our ability to obtain the marketing approval for our product candidates by the FDA and the regulatory authorities in foreign jurisdictions in which we intend to market our product candidates, of which there can be no assurance;</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may fail to demonstrate substantial evidence of the safety and efficacy of our product candidates or any future product candidates;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preclinical studies of our product candidates may not be predictive of the results of future preclinical studies or clinical trials;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receive regulatory approval for any of our product candidates, we may not be able to successfully commercialize the product and the revenue that we generate from its sales, if any, may be limited;</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and future legislation may increase the difficulty and cost for us to obtain marketing approval of and commercialize our product candidates and affect the prices we may obtain;</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difficult and costly to protect our intellectual property rights, and we cannot ensure the protection of these rights;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infringe the intellectual property rights of others, which could increase our costs and delay or prevent our development and commercialization efforts;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active, liquid and orderly trading market for our shares may not develop;</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capital raises may dilute your ownership and have other adverse effects on our operations;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shares may be subject to fluctuation and volatility;</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maintain an effective system of internal control over financial reporting, we may not be able to accurately report our financial results or prevent fraud;</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ratified certain corporate actions pursuant to Section 204 of the Delaware General Corporate Law, or DGCL; however, there can be no assurance that claims will not be made to challenge the validity of the ratification or the related corporate actions; and</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charter documents and Delaware law may inhibit a takeover that stockholders consider favorable.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SUMMARY FINANCIAL DATA</w:t>
      </w:r>
    </w:p>
    <w:p>
      <w:pPr>
        <w:spacing w:after="0" w:line="21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following tables summarize our financial data. You should read this summary financial data together with the section entitled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w:t>
      </w:r>
      <w:r>
        <w:rPr>
          <w:rFonts w:ascii="Times New Roman" w:cs="Times New Roman" w:eastAsia="Times New Roman" w:hAnsi="Times New Roman"/>
          <w:sz w:val="17"/>
          <w:szCs w:val="17"/>
          <w:color w:val="auto"/>
        </w:rPr>
        <w:t>” and our financial statements and related notes that are included elsewhere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prospectus. The financial information as of and for the fiscal years ended December 31, 2022 and 2021 is derived from the audited financial statements that are included elsewhere in this prospectus. The financial information as of and for the nine months ended September 30, 2023 and 2022 are derived from our unaudited financial statements included elsewhere in this prospectus. The unaudited financial statements were prepared on the same basis as the audited financial statements. Our management believes that the unaudited financial statements reflect all adjustments necessary for the fair presentation of the financial condition and results of operations for such periods. Our historical results are not necessarily indicative of the results that may be expected in the future.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6"/>
          </w:tcPr>
          <w:p>
            <w:pPr>
              <w:jc w:val="right"/>
              <w:ind w:right="10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60" w:type="dxa"/>
            <w:vAlign w:val="bottom"/>
          </w:tcPr>
          <w:p>
            <w:pPr>
              <w:spacing w:after="0"/>
              <w:rPr>
                <w:sz w:val="17"/>
                <w:szCs w:val="17"/>
                <w:color w:val="auto"/>
              </w:rPr>
            </w:pPr>
          </w:p>
        </w:tc>
        <w:tc>
          <w:tcPr>
            <w:tcW w:w="166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Years Ended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6"/>
          </w:tcPr>
          <w:p>
            <w:pPr>
              <w:jc w:val="right"/>
              <w:ind w:right="12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tc>
        <w:tc>
          <w:tcPr>
            <w:tcW w:w="1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204"/>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Statement of Operations Data</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(unaudited)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(unaudited)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596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254</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284</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w:t>
            </w:r>
          </w:p>
        </w:tc>
      </w:tr>
      <w:tr>
        <w:trPr>
          <w:trHeight w:val="204"/>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(8,830)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(6,634)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(10,680)</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(8,940)</w:t>
            </w:r>
          </w:p>
        </w:tc>
      </w:tr>
      <w:tr>
        <w:trPr>
          <w:trHeight w:val="20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(8.25)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(12.74)</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(11.20)</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5"/>
          </w:tcPr>
          <w:p>
            <w:pPr>
              <w:jc w:val="right"/>
              <w:ind w:right="1240"/>
              <w:spacing w:after="0"/>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248"/>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8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w w:val="99"/>
              </w:rPr>
              <w:t>Actual</w:t>
            </w:r>
          </w:p>
        </w:tc>
        <w:tc>
          <w:tcPr>
            <w:tcW w:w="1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15"/>
              <w:spacing w:after="0" w:line="242" w:lineRule="exact"/>
              <w:rPr>
                <w:sz w:val="20"/>
                <w:szCs w:val="20"/>
                <w:color w:val="auto"/>
              </w:rPr>
            </w:pPr>
            <w:r>
              <w:rPr>
                <w:rFonts w:ascii="Times New Roman" w:cs="Times New Roman" w:eastAsia="Times New Roman" w:hAnsi="Times New Roman"/>
                <w:sz w:val="17"/>
                <w:szCs w:val="17"/>
                <w:b w:val="1"/>
                <w:bCs w:val="1"/>
                <w:color w:val="auto"/>
              </w:rPr>
              <w:t>As Adjusted</w:t>
            </w:r>
            <w:r>
              <w:rPr>
                <w:rFonts w:ascii="Times New Roman" w:cs="Times New Roman" w:eastAsia="Times New Roman" w:hAnsi="Times New Roman"/>
                <w:sz w:val="28"/>
                <w:szCs w:val="28"/>
                <w:b w:val="1"/>
                <w:bCs w:val="1"/>
                <w:color w:val="auto"/>
                <w:vertAlign w:val="superscript"/>
              </w:rPr>
              <w:t>(1)</w:t>
            </w:r>
          </w:p>
        </w:tc>
        <w:tc>
          <w:tcPr>
            <w:tcW w:w="100" w:type="dxa"/>
            <w:vAlign w:val="bottom"/>
          </w:tcPr>
          <w:p>
            <w:pPr>
              <w:spacing w:after="0"/>
              <w:rPr>
                <w:sz w:val="21"/>
                <w:szCs w:val="21"/>
                <w:color w:val="auto"/>
              </w:rPr>
            </w:pP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2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8"/>
              </w:rPr>
              <w:t>(unaudited)</w:t>
            </w: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7"/>
                <w:szCs w:val="17"/>
                <w:color w:val="auto"/>
              </w:rPr>
            </w:pP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4,400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8,650</w:t>
            </w: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Working capital</w:t>
            </w:r>
          </w:p>
        </w:tc>
        <w:tc>
          <w:tcPr>
            <w:tcW w:w="30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3,410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7,660</w:t>
            </w: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0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7,490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11,740</w:t>
            </w:r>
          </w:p>
        </w:tc>
      </w:tr>
      <w:tr>
        <w:trPr>
          <w:trHeight w:val="222"/>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0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51,475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56,473</w:t>
            </w:r>
          </w:p>
        </w:tc>
      </w:tr>
      <w:tr>
        <w:trPr>
          <w:trHeight w:val="217"/>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00" w:hanging="298"/>
        <w:spacing w:after="0" w:line="282"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 adjusted column gives effect to the sale by us of 16,667,000 shares of common stock offered by this prospectus at the public offering price of $0.30 per share, after deducting underwriting discounts and commissions and estimated offering costs payable by us.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i w:val="1"/>
          <w:iCs w:val="1"/>
          <w:color w:val="auto"/>
        </w:rPr>
        <w:t>Any investment in our common stock involves a high degree of risk. You should carefully consider the risks described below, which we believe represent certain of the material risks to our business, together with the information contained elsewhere in this prospectus, before you make a decision to invest in our common stock. Please note that the risks highlighted here are not the only ones that we may face. For example, additional risks presently unknown to us or that we currently consider immaterial or unlikely to occur could also impair our operations. If any of the following events occur or any additional risks presently unknown to us actually occur, our business, financial condition and operating results may be materially adversely affected. In that event, the trading price of our common stock could decline and you could lose all or part of your investment.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are an early-stage clinical biopharmaceutical company with limited operating history</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are an early-stage clinical biopharmaceutical company incorporated on January 2, 2014, and have limited operating history. We have not commenced revenue-producing operations apart from limited grant and service revenue. To date, our operations have consisted of the development of our proprietary microbial library, the identification, characterization, genetic engineering and testing of certain bacterial species to provide therapeutic effect and the development of our initial product candidates. Our limited operating history makes it difficult for potential investors to evaluate our technology or prospective operations. As an early-stage clinical biopharmaceutical company, we are subject to all the risks inherent in the organization, financing, expenditures, complications and delays involved with a new business. Accordingly, you should consider our prospects in light of the costs, uncertainties, delays and difficulties frequently encountered by companies in the early stages of development, especially early-stage clinical-stage biopharmaceutical companies such as ours. Potential investors should carefully consider the risks and uncertainties that a company with a limited operating history will face. In particular, potential investors should consider that we may be unable to:</w:t>
      </w:r>
    </w:p>
    <w:p>
      <w:pPr>
        <w:spacing w:after="0" w:line="176" w:lineRule="exact"/>
        <w:rPr>
          <w:sz w:val="20"/>
          <w:szCs w:val="20"/>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 or execute our business plan, or that our business plan is sound;</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complete preclinical and clinical trials and obtain regulatory approval for the marketing of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demonstrate a favorable differentiation between our precision dermatological product candidates and the current products on the market;</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contract for the manufacture of our clinical drug products and establish a commercial drug supply;</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secure market exclusivity or adequate intellectual property protection for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an experienced management and advisory team; and</w:t>
      </w:r>
    </w:p>
    <w:p>
      <w:pPr>
        <w:spacing w:after="0" w:line="8" w:lineRule="exact"/>
        <w:rPr>
          <w:rFonts w:ascii="Times New Roman" w:cs="Times New Roman" w:eastAsia="Times New Roman" w:hAnsi="Times New Roman"/>
          <w:sz w:val="17"/>
          <w:szCs w:val="17"/>
          <w:color w:val="auto"/>
        </w:rPr>
      </w:pPr>
    </w:p>
    <w:p>
      <w:pPr>
        <w:ind w:left="920" w:hanging="305"/>
        <w:spacing w:after="0" w:line="261" w:lineRule="auto"/>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 sufficient funds in the capital markets to effectuate our business plan, including product and clinical development, regulatory approval and commercialization for our product candidates.</w:t>
      </w:r>
    </w:p>
    <w:p>
      <w:pPr>
        <w:spacing w:after="0" w:line="17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Investors should evaluate an investment in us in light of the uncertainties encountered by developing companies in a competitive environment. There can be no assurance that our efforts will be successful or that we will ultimately be able to attain profitability. If we cannot successfully execute any one of the foregoing, our business may not succeed and your investment will be adversely affected. You must be prepared to lose all of your investment.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significant operating losses and anticipate continued operating losses for the foreseeable future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For the fiscal years ended December 31, 2022 and 2021, we incurred a net loss of $10.7 million and $8.9 million, respectively, and $8.8 million and $6.6 million for the nine months ended September 30, 2023 and 2022, respectively. As of September 30, 2023, we had an accumulated deficit of $46.1 million. Following completion of this offering, we expect to continue to incur substantial expenses without any meaningful revenues unless and until we are able to obtain regulatory approval and successfully commercialize at least one of our product candidates. We also believe that, at a minimum, it will take us four to six years from the closing of the offering for us to obtain regulatory approval of our first drug candidates, assuming we are able to get regulatory approval at all. Even if we are able to commercialize our product candidates, there can be no assurance that we will generate significant revenues or ever achieve profitability.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5" w:name="page16"/>
    <w:bookmarkEnd w:id="15"/>
    <w:p>
      <w:pPr>
        <w:jc w:val="both"/>
        <w:ind w:firstLine="613"/>
        <w:spacing w:after="0" w:line="278" w:lineRule="auto"/>
        <w:rPr>
          <w:sz w:val="20"/>
          <w:szCs w:val="20"/>
          <w:color w:val="auto"/>
        </w:rPr>
      </w:pPr>
      <w:r>
        <w:rPr>
          <w:rFonts w:ascii="Times New Roman" w:cs="Times New Roman" w:eastAsia="Times New Roman" w:hAnsi="Times New Roman"/>
          <w:sz w:val="16"/>
          <w:szCs w:val="16"/>
          <w:color w:val="auto"/>
        </w:rPr>
        <w:t>We expect to have significant research, regulatory and development expenses as we advance our product candidates towards commercialization. As a result, we expect to incur substantial losses for the foreseeable future, and these losses will be increasing. We are uncertain when or if we will be able to achieve or sustain profitability. If we achieve profitability in the future, we may not be able to sustain profitability in subsequent periods. Failure to become and remain profitable may impair our ability to sustain operations and adversely affect our business and our ability to raise capital. If we are unable to generate positive cash flow within a reasonable period of time, we may be unable to further pursue our business plan or continue operations, in which case you may lose your entire investment.</w:t>
      </w:r>
    </w:p>
    <w:p>
      <w:pPr>
        <w:spacing w:after="0" w:line="16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report of our independent registered public accounting firm for the year ended December 31, 2022 states that due to our accumulated deficit, recurring and negative cash flow from operations there is substantial doubt about our ability to continue as a going concern.</w:t>
      </w:r>
    </w:p>
    <w:p>
      <w:pPr>
        <w:spacing w:after="0" w:line="149"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expect we will need additional financing to execute our business plan and fund operations, which additional financing may not be available on reasonable terms or at all.</w:t>
      </w:r>
    </w:p>
    <w:p>
      <w:pPr>
        <w:spacing w:after="0" w:line="149"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As of September 30, 2023, we had total assets of $7.5 million and working capital of $3.4 million. We believe that net proceeds of this offering, along with our cash on hand as of the date of this prospectus, may not be sufficient to cover our proposed plan of operations over, at least, the next 12 months. We intend to seek additional funds through various financing sources, including the sale of our equity, licensing fees for our technology and joint ventures with industry partners.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 clinical and commercial utility of our microbial library and genetic engineering platform is uncertain and may never be realized.</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 xml:space="preserve">We have built a proprietary platform that includes a microbial library comprised of approximately 1,500 unique bacterial strains that can be screened for unique therapeutic characteristics. The platform is augmented by artificial intelligence, machine learning and genetic engineering technologies. To date, our focus is on the development of genetically engineered strains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which we consider to be an optimal therapeutic candidate species for engineering of dermatologic therapies. However, we believe that the genetic engineering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is a novel and unproven mode of therapy. We recently initiated our Phase 1b clinical trial for ATR-12 and expect to enroll our first patient in the first quarter of 2024, and expect to file an IND for a Phase 1b clinical trial of ATR-04 by the first half of 2024. However, as of the date of this prospectus, we have tested and evaluated our proprietary strains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in preclinical studies and have not conducted any clinical trials designed to evaluate safety, tolerability or efficacy. Furthermore, success in early clinical trials does not ensure that large-scale clinical trials will be successful, nor does it predict final results. Even after the completion of our proposed Phase 1b clinical trials, our initial product candidates will have only been tested in a small number of patients. Results from these clinical trials may not necessarily be indicative of the safety and tolerability or efficacy of our product candidates or our as we expand into larger clinical trials. Until such time, if ever, as we are able to provide the FDA with substantial clinical evidence to support a claim of safety, efficacy, purity and potency sufficient to enable the FDA to approve our proprietary product candidates for any indication, our proprietary microbial library and genetic engineering platform will remain unproven.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6" w:name="page17"/>
    <w:bookmarkEnd w:id="16"/>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in early-stage clinical trials or early stages of preclinical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spacing w:after="0" w:line="16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Because our product candidates are in early stages clinical trials or of preclinical development, they will require extensive preclinical and clinical testing. We recently initiated our Phase 1b clinical trial for ATR-12 and expect to enroll our first patient in the first quarter of 2024, and expect to file an IND for a Phase 1b clinical trial of ATR-04 by the first half of 2024. However, we have not conducted meaningful preclinical studies for any of our other product candidates. Success in preclinical testing and early-stage clinical trials does not ensure that later clinical trials will generate the same results or otherwise provide adequate data to demonstrate the efficacy and safety of a product candidate. Preclinical studies and Phase 1b clinical trials are primarily designed to test safety, to study pharmacokinetics and pharmacodynamics and to understand the side effects of product candidates at various doses and schedules. Phase 1b clinical trials also test how well a certain disease responds to a new treatment.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spacing w:after="0" w:line="180"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Further, we cannot predict with any certainty if or when we might submit a Biologics License Application, or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the size of our organization, and we may experience difficulties in managing this growth</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our development and commercialization plans and strategies develop, we will need to expand the size of our employee and consultant/contractor base.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commercialize our product candidates and any other future product candidates and our ability to compete effectively will depend, in part, on our ability to effectively manage our future growth.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7" w:name="page18"/>
    <w:bookmarkEnd w:id="17"/>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If we are not successful in attracting and retaining highly qualified personnel, we may not be able to successfully implement our business strategy. In addition, the loss of the services of our senior management would adversely impact our business prospects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management team has expertise in many different aspects of drug development and commercialization. However, our ability to compete in the highly competitive pharmaceuticals industry depends in large part upon our ability to attract and retain highly qualified managerial, scientific and medical personnel. We will need to hire additional personnel as we further develop our product candidates. Competition for skilled personnel in our market is intense and competition for experienced scientists may limit our ability to hire and retain highly qualified personnel on acceptable terms. Despite our efforts to retain valuable employees, members of our management, scientific and medical teams may terminate their employment with us on short notice. The loss of the services of any of our executive officers or other key employees, or our inability to hire targeted executives, could potentially harm our business, operating results or financial condition. In particular, we believe that the loss of the services of our chief executive officer would have a material adverse effect on our business.</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Other biopharmaceutical companies with which we compete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develop and commercialize product candidates would be limited.</w:t>
      </w:r>
    </w:p>
    <w:p>
      <w:pPr>
        <w:spacing w:after="0" w:line="167"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currently have no sales and marketing organization. If we are unable to establish satisfactory sales and marketing capabilities or secure a third-party sales and marketing relationship, we may not be able to successfully commercialize any of our product candidates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At present, we have no sales or marketing personnel. Upon and subject to initial receipt of the requisite regulatory approvals for one or more of our drug products, we plan to build focused capabilities in the United States to commercialize our development programs focused on live biotherapeutic products and recombinant proteins for the treatment of skin diseases, where we believe the patient populations and medical specialists for the indications we are targeting are sufficiently concentrated to allow us to effectively promote our products with a targeted sales team. In other markets for which commercialization may be less capital efficient for us, we may selectively pursue strategic collaborations with third parties in order to maximize the commercial potential of our product candidates. In some cases, we may pursue the licensing of our microbial library or patent rights or enter into a joint development arrangement. If we are not successful in recruiting sales and marketing personnel and building a sales and marketing infrastructure or entering into appropriate collaboration arrangements with third parties, we will have difficulty successfully commercializing our product candidates, which would adversely affect our business, operating results and financial condition.</w:t>
      </w:r>
    </w:p>
    <w:p>
      <w:pPr>
        <w:spacing w:after="0" w:line="17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Even if we enter into third-party marketing and distribution arrangements, we may have limited or no control over the sales, marketing and distribution activities of these third parties. Our future revenues may depend heavily on the success of the efforts of these third parties. In terms of establishing a sales and marketing infrastructure, we will have to compete with established and well-funded pharmaceutical and biotechnology companies to recruit, hire, train and retain sales and marketing personnel. Factors that may inhibit our efforts to build an internal sales organization or enter into collaboration arrangements with third parties include:</w:t>
      </w:r>
    </w:p>
    <w:p>
      <w:pPr>
        <w:spacing w:after="0" w:line="174" w:lineRule="exact"/>
        <w:rPr>
          <w:sz w:val="20"/>
          <w:szCs w:val="20"/>
          <w:color w:val="auto"/>
        </w:rPr>
      </w:pPr>
    </w:p>
    <w:p>
      <w:pPr>
        <w:ind w:left="920" w:hanging="305"/>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recruit and retain adequate numbers of effective sales and marketing personnel;</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sales personnel to obtain access to or persuade adequate numbers of physicians to prescribe any of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internal sales and marketing organization.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8" w:name="page19"/>
    <w:bookmarkEnd w:id="18"/>
    <w:p>
      <w:pPr>
        <w:jc w:val="both"/>
        <w:ind w:firstLine="61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will be completely dependent for the foreseeable future on third parties to manufacture our product candidates for commercial sale, and the commercialization of our product candidates could be halted, delayed or made less profitable if those third parties fail to obtain manufacturing approval from the FDA or comparable foreign regulatory authorities, fail to provide us with sufficient quantities of our product candidates or fail to do so at acceptable quality levels or prices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do not own or operate manufacturing facilities for the commercial production of our current product candidates. We currently rely on third-party contract manufacturers for all of our required raw materials, manufacturing devices, and active pharmaceutical ingredients for our preclinical research and clinical trials. Although we are able to manufacture finished product in our Groton Connecticut facility for our clinical trials, we will rely on third parties for the manufacture of our finished product for commercial sale. We do not have long-term agreements with any of these third parties. We also do not have any current contractual relationship for commercial supplies. We intend to enter into agreements with third-party contract manufacturers and one or more backup manufacturers for future production. We are analyzing the feasibility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 In the meantime, we will be obligated to rely on contract manufacturers for our preclinical research and clinical trials and commercial production, if and when any of our product candidates are approved for commercialization.</w:t>
      </w:r>
    </w:p>
    <w:p>
      <w:pPr>
        <w:spacing w:after="0" w:line="180"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The facilities used by us or any contract manufacturer to manufacture our raw materials, manufacturing devices, active pharmaceutical ingredients and finished products must be approved by the FDA or comparable foreign regulatory authorities. Such approvals are subject to inspections that will be conducted after we submit a BLA to the FDA or their equivalents to other relevant regulatory authorities. Until such time, if ever, as we establish our own manufacturing facilities, we will not control the manufacturing process of our product candidates, and will be completely dependent on our contract manufacturing partners for compliance with Current Good Manufacturing Practices, or cGMPs, for manufacture of our raw materials, manufacturing devices, active pharmaceutical ingredients and finished products. These cGMP regulations cover all aspects of the manufacturing, testing, quality control, storage, distribution and record keeping relating to our product candidates. If our contract manufacturers do not successfully manufacture material that conforms to our specifications and the strict regulatory requirements of the FDA or others, we will not be able to secure or maintain regulatory approval for product made at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could significantly delay our clinical trials and impact our ability to develop, manufacture, obtain regulatory approval for or market our product candidates, if approved. Likewise, we could be negatively impacted if any of our contract manufacturers elect to discontinue their business relationship with us.</w:t>
      </w:r>
    </w:p>
    <w:p>
      <w:pPr>
        <w:spacing w:after="0" w:line="182"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product candidates, delays, suspensions or withdrawals of approvals, inability to supply product,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manufacture, obtain regulatory approval for or market any of our product candidates, if approved.</w:t>
      </w:r>
    </w:p>
    <w:p>
      <w:pPr>
        <w:spacing w:after="0" w:line="176"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If, for any reason, these third parties are unable or unwilling to perform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required raw materials, manufacturing devices, active pharmaceutical ingredients or finished product or should cease doing business with us for any reason, we could experience significant delays in our clinical trials and significant interruptions in the supply of any of our product candidates or may not be able to create a supply of our product candidates at all.</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Any manufacturing problem or the loss of a contract manufacturer could be disruptive to our operations and result in development and clinical trial delays and lost sales. Additionally, we will rely on third parties to supply the raw materials needed to manufacture our product candidates. Any such reliance on suppliers may involve several risks, including a potential inability to obtain critical materials and reduced control over production costs, delivery schedules, reliability and quality. Any unanticipated disruption to the operation of one of our contract manufacturers caused by problems with suppliers could delay our shipment of any of our product candidates, increase our cost of goods sold and result in delays in clinical trials or lost sales.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9" w:name="page20"/>
    <w:bookmarkEnd w:id="19"/>
    <w:p>
      <w:pPr>
        <w:jc w:val="both"/>
        <w:ind w:firstLine="61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business model includes the potential out-licensing of strains from our proprietary microbial library or our product candidates to other biopharmaceutical companies, however technology licensing in the biopharmaceutical industry is a lengthy process and subject to several risks and factors outside of our control, and we cannot forecast our ability to successfully out-license our technology or the length of time it takes to establish a new licensing relationship.</w:t>
      </w:r>
    </w:p>
    <w:p>
      <w:pPr>
        <w:spacing w:after="0" w:line="168"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business model includes the potential out-licensing or joint development of strains from our proprietary microbial library or our product candidates to other biopharmaceutical companies. Any such arrangement would typically begin with preliminary feasibility testing and evaluation by our potential partner or licensee. Assuming the feasibility testing is successful, our ability to convert the successful test into a commercial license or joint development agreement is dependent on a number of risks and factors, many of which are outside our control, including:</w:t>
      </w:r>
    </w:p>
    <w:p>
      <w:pPr>
        <w:spacing w:after="0" w:line="171" w:lineRule="exact"/>
        <w:rPr>
          <w:sz w:val="20"/>
          <w:szCs w:val="20"/>
          <w:color w:val="auto"/>
        </w:rPr>
      </w:pPr>
    </w:p>
    <w:p>
      <w:pPr>
        <w:ind w:left="920" w:hanging="305"/>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adoption and incorporation of new technologies, by members of the pharmaceutical industry generally;</w:t>
      </w:r>
    </w:p>
    <w:p>
      <w:pPr>
        <w:spacing w:after="0" w:line="26"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licensee’s internal evaluation of the economic benefits of marketing a dermatological product that may be competitive with other products currently in development or commercial sale by our potential partner or licensee regardless of the perceived benefits or advantages of our technology or product;</w:t>
      </w:r>
    </w:p>
    <w:p>
      <w:pPr>
        <w:spacing w:after="0" w:line="1"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partner’s/licensee’s internal budgetary and product development issues, including their ability to commit the capital and human resources towards the development and commercialization of our technology or product;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partner’s/licensee’s willingness to accept our requirements for upfront fees and ongoing royalties.</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addition, we believe that in many cases our potential partners or licensee may engage with us in the early-stage feasibility testing as part of their evaluation of multiple drug and drug delivery options and prior to making any decision or commitment to the development of a new drug product. Consequently, even if our platform is successful in early feasibility studies, our potential partner/licensee may decide, for reasons unrelated to the performance of our technology, not to enter into a license agreement with us. Therefore, we are unable to predict the degree to which our proposed licensing model will be successful.</w:t>
      </w:r>
    </w:p>
    <w:p>
      <w:pPr>
        <w:spacing w:after="0" w:line="167"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commercialization of our product candidates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will face a potential risk of product liability as a result of the clinical testing of our product candidates and will face an even greater risk of such liability if we commercialize any of our product candidates. For example, we may be sued if any product we develop, including any of our product candidates, or any materials that we use in our product candidates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In the U.S., claims could also be asserted against us under state consumer protection acts. If we cannot successfully defend ourselves against product liability claims, we may incur substantial liabilities or be required to limit commercialization of our product candidates. Even successful defense of these claims would require us to employ significant financial and management resources. Regardless of the merits or eventual outcome, liability claims may result in:</w:t>
      </w:r>
    </w:p>
    <w:p>
      <w:pPr>
        <w:spacing w:after="0" w:line="176" w:lineRule="exact"/>
        <w:rPr>
          <w:sz w:val="20"/>
          <w:szCs w:val="20"/>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any of our product candidates or any future products that we may develop;</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regulatory approval for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participants in our clinical trials;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our defense of the related litigation;</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diversion of our management’s time and our resources;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some or all of our product candidates; and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value of our stock.</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0" w:name="page21"/>
    <w:bookmarkEnd w:id="20"/>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As of the date of this prospectus, we carry product liability insurance that we consider adequate for our current level of clinical testing and development. However, we will need additional product liability coverage at the time we commence commercial sale of our initial product. Our inability to obtain and retain sufficient product liability insurance at an acceptable cost to protect against potential product liability claims could prevent or inhibit the commercialization of products we develop.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would also have various exclusions, and we may be subject to a product liability claim for which we have no coverage. As a result, we may have to pay any amounts awarded by a court or negotiated in a settlement that exceed our coverage limitations or that are not covered by our insurance, and we may not have, or be able to obtain, sufficient capital to pay such amounts.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business operations could suffer in the event of information technology systems’ failures or security breaches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While we believe that we have implemented adequate security measures within our internal information technology and networking systems, our information technology systems may be subject to security breaches, damages from computer viruses, natural disasters, terrorism, and telecommunication failures. Any system failure or security breach could cause interruptions in our operations in addition to the possibility of losing proprietary information and trade secrets. To the extent that any disruption or security breach results in inappropriate disclosure of our confidential information, our competitive position may be adversely affected and we may incur liability or additional costs to remedy the damages caused by these disruptions or security breaches.</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149"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dermatological therapies market is highly competitive and led by significant technologic developments. We anticipate that, if we are successful in obtaining regulatory approval of our candidates, we will face significant competition from other approved therapies or drugs that will become available in our industry. Even if another branded, generic, or OTC product is less effective, it may be quickly adopted by physicians and patients than our product based upon cost or convenience.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Product Regulation</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Our success is entirely dependent on our ability to obtain the marketing approval for our product candidates by the FDA and the regulatory authorities in foreign jurisdictions in which we intend to market our product candidates, of which there can be no assurance.</w:t>
      </w:r>
    </w:p>
    <w:p>
      <w:pPr>
        <w:spacing w:after="0" w:line="149"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are not permitted to market our product candidates as prescription pharmaceutical products in the United States until we receive approval of a BLA from the FDA, or in any foreign countries until we receive the requisite approval from such countries. In the United States, the FDA generally requires the completion of clinical trials of each biologic to establish its safety and efficacy and extensive pharmaceutical development to ensure its quality before a BLA is approved. Of the large number of biologics in development, only a small percentage result in the submission of a BLA to the FDA and even fewer are eventually approved for commercialization. As of the date of this prospectus, we have not submitted a BLA to the FDA or comparable applications to other regulatory authorities for any of our product candidates.</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Our success depends on our receipt of the regulatory approvals described above, and the issuance of such regulatory approvals is uncertain and subject to a number of risks, including the following:</w:t>
      </w:r>
    </w:p>
    <w:p>
      <w:pPr>
        <w:spacing w:after="0" w:line="153" w:lineRule="exact"/>
        <w:rPr>
          <w:sz w:val="20"/>
          <w:szCs w:val="20"/>
          <w:color w:val="auto"/>
        </w:rPr>
      </w:pPr>
    </w:p>
    <w:p>
      <w:pPr>
        <w:ind w:left="5540" w:right="100" w:hanging="4925"/>
        <w:spacing w:after="0" w:line="564" w:lineRule="auto"/>
        <w:tabs>
          <w:tab w:leader="none" w:pos="92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authorities may disagree with the number, design, size, conduct or implementation of our clinical trials or any of our collaborators’ clinical trials;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13994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1" w:name="page22"/>
    <w:bookmarkEnd w:id="21"/>
    <w:p>
      <w:pPr>
        <w:ind w:left="920" w:hanging="305"/>
        <w:spacing w:after="0" w:line="261"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authorities may disagree with our interpretation of data from preclinical studies or clinical trials or the use of results from studies that served as precursors to our current or future product candidates;</w:t>
      </w: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toxicology studies may not support the filing of an Investigational New Drug Application, or IND, or a BLA for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or Institutional Review Boards, or IRBs, may disagree with the design or implementation of our clinical trials;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provide acceptable evidence of our product candidates’ safety and efficacy;</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clinical trials may not be satisfactory or may not meet the level of statistical or clinical significance required by the FDA, European Medicines Agency, or EMA, or other regulatory agencies for us to receive marketing approval for any of our product candidates;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dosing of our product candidates in a particular clinical trial may not be at an optimal level;</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in our clinical trials may suffer adverse effects for reasons that may or may not be related to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may not be sufficient to support the submission of a BLA or other submission or to obtain regulatory approval in the United States or elsewhere;</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require development of a Risk Evaluation and Mitigation Strategy, or REMS, as a condition of approval;</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Times New Roman" w:cs="Times New Roman" w:eastAsia="Times New Roman" w:hAnsi="Times New Roman"/>
          <w:sz w:val="17"/>
          <w:szCs w:val="17"/>
          <w:color w:val="auto"/>
        </w:rPr>
      </w:pPr>
    </w:p>
    <w:p>
      <w:pPr>
        <w:ind w:left="920" w:hanging="305"/>
        <w:spacing w:after="0" w:line="261"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or comparable foreign regulatory authorities may significantly change in a manner rendering our clinical data insufficient for approval of our product candidates.</w:t>
      </w:r>
    </w:p>
    <w:p>
      <w:pPr>
        <w:spacing w:after="0" w:line="170"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approval for our product candidates for the foregoing, or any other reasons, will prevent us from commercializing our product candidates, and our ability to generate revenue will be materially impaired.</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also not accept the labeling claims that we believe would be necessary or desirable for the successful commercialization of our product candidates.</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December 2022, the U.S. Congress enacted a new law, the Modernization of Cosmetics Regulation Act of 2022, or MOCRA. MOCRA will require a cosmetic manufacturer or importer to: ensure that it has on hand substantiation of the safety of its products and ingredients; meet increased registration, record-keeping and reporting requirements; include fragrance and allergen information on its labeling; and be prepared to meet FDA’s to be promulgated good manufacturing practices requirements. These additional requirements may impact budgets and timelines.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2" w:name="page23"/>
    <w:bookmarkEnd w:id="22"/>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Our clinical trials may fail to demonstrate substantial evidence of the safety and efficacy of our product candidates or any future product candidates, which would prevent or delay or limit the scope of regulatory approval and commercialization</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Our business model depends entirely on the successful development, regulatory approval and commercialization of our product candidates, which may never occur. We recently initiated our Phase 1b clinical trial for ATR-12 and expect to enroll our first patient in the first quarter of 2024, and expect to file an IND for a Phase 1b clinical trial of ATR-04 by the first half of 2024. However, all of our other product candidates are in the early stages of development and as of the date of this prospectus we have not progressed any of our product candidates, other than ATR-12 and ATR-04, beyond performance characterization and animal testing We may not be successful in obtaining approval from the FDA or comparable foreign regulatory authorities to start clinical trials for ATR-04 or any of our other product candidates. If we do not obtain such approvals as presently planned, the time in which we expect to commence clinical programs for any product candidate will be extended and such extension will increase our expenses, delay our potential receipt of any revenues and increase our need for additional capital. Moreover, there is no guarantee that we will receive approval to commence human clinical trials or, if we do receive approval, that our clinical trials will be successful or that we will continue clinical development in support of an approval from the FDA or comparable foreign regulatory authorities for any indication. We note that most product candidates never reach the clinical development stage and even those that do commence clinical development have only a small chance of successfully completing clinical development and gaining regulatory approval.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product candidates. Therefore, our business currently depends entirely on the successful development, regulatory approval and commercialization of our product candidates, which may never occur.</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Results of preclinical studies of our product candidates may not be predictive of the results of future preclinical studies or clinical trials.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To obtain the requisite regulatory approvals to market and sell any of our product candidates, we must demonstrate through extensive preclinical studies and clinical trials that our product candidates are safe, pure, and potent in humans. Before an IND can be submitted to the FDA and become effective, which is a prerequisite for conducting clinical trials on human subjects in the United States, a product candidate must successfully progress through extensive preclinical studies, which include preclinical laboratory testing, animal studies, and formulation studies in accordance with Good Laboratory Practices. Success in preclinical studies does not ensure that later preclinical studies or clinical trials will be successful. A number of companies in the biotechnology and pharmaceutical industries have suffered significant setbacks in clinical trials, even after positive results in earlier preclinical studies. These setbacks have been caused by, among other things, preclinical findings made while clinical trials were underway and safety or efficacy observations made in clinical trials, including previously unreported adverse events. The design of a clinical trial can determine whether its results will support approval of a product, and flaws in the design of a clinical trial may not become apparent until the clinical trial is well advanced. Further, we or our investigators may have little control over whether subjects comply with important aspects of clinical trial protocols. In addition, preclinical and clinical data are often susceptible to varying interpretations and analyses. Notwithstanding any potential promising results in earlier studies, we cannot be certain that we will not face similar setbacks. In addition, the results of our preclinical animal studies may not be predictive of the results of outcomes in subsequent clinical trials on human subjects. Product candidates in clinical trials may fail to show the desired pharmacological properties or safety and efficacy traits despite having progressed through preclinical studies.</w:t>
      </w:r>
    </w:p>
    <w:p>
      <w:pPr>
        <w:spacing w:after="0" w:line="18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we fail to receive positive results in preclinical studies or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3" w:name="page24"/>
    <w:bookmarkEnd w:id="23"/>
    <w:p>
      <w:pPr>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Any termination or suspension of, or delays in the commencement or completion of, any necessary studies of any of our product candidates for any indications could result in increased costs to us, delay or limit our ability to generate revenue and adversely affect our commercial prospects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commencement and completion of clinical studies can be delayed for a number of reasons, including delays related to:</w:t>
      </w:r>
    </w:p>
    <w:p>
      <w:pPr>
        <w:spacing w:after="0" w:line="213" w:lineRule="exact"/>
        <w:rPr>
          <w:sz w:val="20"/>
          <w:szCs w:val="20"/>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a comparable foreign regulatory authority failing to grant permission to proceed and placing the clinical study on hold;</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for clinical testing failing to enroll or remain enrolled in our trials at the rate we expect;</w:t>
      </w:r>
    </w:p>
    <w:p>
      <w:pPr>
        <w:spacing w:after="0" w:line="8"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facility manufacturing any of our product candidates being ordered by the FDA or other government or regulatory authorities to temporarily or permanently shut down due to violations of cGMP requirements or other applicable requirements, or cross-contaminations of product candidates in the manufacturing process;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to our manufacturing process that may be necessary or desired;</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choosing an alternative treatment for the indications for which we are developing our product candidates, or participating in competing clinical studies;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experiencing severe or unexpected drug-related adverse effects;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from clinical testing on similar technologies and products raising safety and/or efficacy concerns;</w:t>
      </w:r>
    </w:p>
    <w:p>
      <w:pPr>
        <w:spacing w:after="0" w:line="8"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deviations of the clinical sites from trial protocols or dropping out of a trial;</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adding new clinical trial sites;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the CRO to execute any clinical trials for any reason; and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or regulatory delays or “clinical holds” requiring suspension or termination of a trial.</w:t>
      </w:r>
    </w:p>
    <w:p>
      <w:pPr>
        <w:spacing w:after="0" w:line="196"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Product development costs for any of our product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product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product candidates. In addition, if one or more clinical studies are delayed, our competitors may be able to bring competing products to market before we do, and the commercial viability of any of our affected product candidates could be significantly reduced.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4" w:name="page25"/>
    <w:bookmarkEnd w:id="24"/>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for any of our product candidates, we may not be able to successfully commercialize the product and the revenue that we generate from its sales, if any, may be limited.</w:t>
      </w:r>
    </w:p>
    <w:p>
      <w:pPr>
        <w:spacing w:after="0" w:line="149"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approved for marketing, the commercial success of our product candidates will depend upon each product’s acceptance by the medical community, including physicians, patients and health care payors. The degree of market acceptance for any of our product candidates will depend on a number of factors, including:</w:t>
      </w:r>
    </w:p>
    <w:p>
      <w:pPr>
        <w:spacing w:after="0" w:line="167" w:lineRule="exact"/>
        <w:rPr>
          <w:sz w:val="20"/>
          <w:szCs w:val="20"/>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demonstration of clinical safety and efficacy;</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dosing burden and ease of administration;</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adverse effects;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physicians to prescribe our product candidates, and the target patient population to try new therapies;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efficacy of our product candidates compared to competing products;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any new products that may in the future become available targeting indications for which our product candidates may be approved;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procedures or therapies that may reduce the incidences of any of the indications in which our product candidates may show utility;</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and cost-effectiveness;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inclusion or omission of our product candidates in applicable therapeutic and vaccine guidelines;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own or any future collaborators’ sales and marketing strategies;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approved labeling from regulatory authorities;</w:t>
      </w:r>
    </w:p>
    <w:p>
      <w:pPr>
        <w:spacing w:after="0" w:line="8"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patients to pay out-of-pocket in the absence of third-party coverage or reimbursement or government pricing approvals.</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any of our product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product candidates may require significant resources and may never be successful.</w:t>
      </w:r>
    </w:p>
    <w:p>
      <w:pPr>
        <w:spacing w:after="0" w:line="16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In addition, even if we obtain regulatory approvals, the timing or scope of any approvals may prohibit or reduce our ability to commercialize our product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product candidates not commercially viable. For example, regulatory authorities may approve any of our product candidates for fewer or more limited indications than we request, may not approve the price we intend to charge for any of our product candidates, may grant approval contingent on the performance of costly post-marketing clinical trials, or may approve any of our product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or REMS, to assure the safe use of the drug. Moreover, product approvals may be withdrawn for non-compliance with regulatory standards or if problems occur following the initial marketing of the product. Any of the foregoing scenarios could materially harm the commercial success of our product candidates.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5" w:name="page26"/>
    <w:bookmarkEnd w:id="25"/>
    <w:p>
      <w:pPr>
        <w:jc w:val="both"/>
        <w:ind w:firstLine="61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Even if we obtain marketing approval for any of our product candidates, we will be subject to ongoing obligations and continued regulatory review, which may result in significant additional expense. Additionally, our product candidates could be subject to labeling and other restrictions and withdrawal from the market and we may be subject to penalties if we fail to comply with regulatory requirements or if we experience unanticipated problems with our product candidates.</w:t>
      </w:r>
    </w:p>
    <w:p>
      <w:pPr>
        <w:spacing w:after="0" w:line="168"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Even if we obtain regulatory approval for any of our product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product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cGMPs, requirements relating to quality control, quality assurance and corresponding maintenance of records and documents.</w:t>
      </w:r>
    </w:p>
    <w:p>
      <w:pPr>
        <w:spacing w:after="0" w:line="17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FDA has the authority to require a REMS as part of an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With respect to sales and marketing activities related to our product candidates,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80"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In addition, if any of our product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product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8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we or a regulatory agency discover previously unknown problems with a product candidate,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67" w:lineRule="exact"/>
        <w:rPr>
          <w:sz w:val="20"/>
          <w:szCs w:val="20"/>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withdrawal of the product from the market, or voluntary or mandatory product recalls;</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warning letters or untitled letters;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holds;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 or monetary fines;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regulatory approval;</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any ongoing clinical trials;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filed by us, or suspension or revocation of product license approvals;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imposition of restrictions on operations, including costly new manufacturing requirements; or</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6" w:name="page27"/>
    <w:bookmarkEnd w:id="26"/>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commercialize our product candidates and generate revenue. Adverse regulatory action, whether pre- or post-approval, can also potentially lead to product liability claims and increase our product liability exposure.</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also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Obtaining foreign regulatory approvals and compliance with foreign regulatory requirements could result in significant delays, difficulties and costs for us and could delay or prevent the introduction of our product candidates in certain countries. If we fail to comply with the regulatory requirements in international markets and/ or to receive applicable marketing approvals, our target market will be reduced and our ability to realize the full market potential of our product candidates will be harmed.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Even though we may apply for orphan drug designation for a product candidate, we may not be able to obtain orphan drug marketing exclusivity.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believe that in some cases our products candidates may qualify for the FDA’s orphan drug status. There is no guarantee that the FDA will grant any future application for orphan drug designation for any of our product candidates, which would make us ineligible for the additional exclusivity and other benefits of orphan drug designation.</w:t>
      </w:r>
    </w:p>
    <w:p>
      <w:pPr>
        <w:spacing w:after="0" w:line="16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United States for this type of disease or condition will be recovered from sales of the product. Orphan drug designation must be requested before submitting an BLA.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$650,000 per year for four years to defray costs of clinical trial expenses, tax credits for clinical research expenses and potential exemption from the FDA application user fee.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7" w:name="page28"/>
    <w:bookmarkEnd w:id="27"/>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product candidates in the indications for which we think they might qualify, if we elect to seek such applications.</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149"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 number of legislative and regulatory changes and proposed changes regarding the healthcare system that could prevent or delay marketing approval for our product candidates, restrict or regulate post-approval activities and affect our ability to profitably sell our product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product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6"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Affordability Reconciliation Act of 2010 or, collectively, the ACA,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ACA revised the definition of “average manufacturer price” for reporting purposes, which could increase the amount of Medicaid drug rebates to states. The law also imposed a significant annual fee on companies that manufacture or import branded prescription drug products.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unclear how such challenges, and the healthcare reform measures of the Biden administration will impact the ACA and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8" w:name="page29"/>
    <w:bookmarkEnd w:id="28"/>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In 2011, the U.S. Congress enacted the Budget Control Act of 2011, or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2027 absent additional congressional action. However, pursuant to the CARES Act, and subsequent legislation, these reductions are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180"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September 24, 2020, the FDA released a final rule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August 16, 2022, Congress enacted the Inflation Reduction Act of 2022 which contains several provisions relating to prescription drug costs, including requirements for federal government price negotiations, rebate requirements, and caps on out-of-pocket spending for Medicare Part D enrollees.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On November 20, 2020, the HHS Office of Inspector General finalized further modifications to the federal Anti-Kickback Statute. Under the final rules, the HHS Office of Inspector General added safe harbor protections under the Anti-Kickback Statute for certain coordinated care and value-based arrangements among clinicians, providers, and others, yet removed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This rule (with exceptions) became effective January 19, 2021. We continue to evaluate what effect, if any, these rules will have on our business.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 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9" w:name="page30"/>
    <w:bookmarkEnd w:id="29"/>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delivery of healthcare in the European Union, or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Both in the United States and in the EU,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Third-party coverage and reimbursement and health care cost containment initiatives and treatment guidelines may constrain our future revenues.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ability to successfully market our product candidates will depend in part on the level of reimbursement that government health administration authorities, private health coverage insurers and other organizations provide for the cost of our product candidates and related treatments. Countries in which any of our product candidates are sold through reimbursement schemes under national health insurance programs frequently require that manufacturers and sellers of pharmaceutical products obtain governmental approval of initial prices and any subsequent price increases. In certain countries, including the United States, government-funded and private medical care plans can exert significant indirect pressure on prices. We may not be able to sell our product candidates profitably if adequate prices are not approved or coverage and reimbursement is unavailable or limited in scope. Increasingly, third-party payors attempt to contain health care costs in ways that are likely to impact our development of products including:</w:t>
      </w:r>
    </w:p>
    <w:p>
      <w:pPr>
        <w:spacing w:after="0" w:line="174" w:lineRule="exact"/>
        <w:rPr>
          <w:sz w:val="20"/>
          <w:szCs w:val="20"/>
          <w:color w:val="auto"/>
        </w:rPr>
      </w:pPr>
    </w:p>
    <w:p>
      <w:pPr>
        <w:ind w:left="920" w:hanging="305"/>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failing to approve or challenging the prices charged for health care products;</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introducing reimportation schemes from lower priced jurisdictions;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both coverage and the amount of reimbursement for new therapeutic products;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denying or limiting coverage for products that are approved by the regulatory agencies but are considered to be experimental or investigational by third-party payors;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to provide coverage when an approved product is used in a way that has not received regulatory marketing approval.</w:t>
      </w:r>
    </w:p>
    <w:p>
      <w:pPr>
        <w:spacing w:after="0" w:line="192"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payors are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6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71" w:lineRule="exact"/>
        <w:rPr>
          <w:sz w:val="20"/>
          <w:szCs w:val="20"/>
          <w:color w:val="auto"/>
        </w:rPr>
      </w:pPr>
    </w:p>
    <w:p>
      <w:pPr>
        <w:jc w:val="both"/>
        <w:ind w:left="920" w:hanging="305"/>
        <w:spacing w:after="0" w:line="256" w:lineRule="auto"/>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among other things, the knowing and willful offer, payment, solicitation or receipt of any form of remuneration in return for, or to induce, (i) the referral of a person, (ii) the furnishing or arranging for the furnishing of items or services reimbursable under the Medicare, Medicaid or other governmental programs, or (iii) the purchase, lease or order or arranging or recommending purchasing, leasing or ordering of any item or service reimbursable under the Medicare, Medicaid or other governmental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0" w:name="page31"/>
    <w:bookmarkEnd w:id="30"/>
    <w:p>
      <w:pPr>
        <w:jc w:val="both"/>
        <w:ind w:left="920" w:hanging="305"/>
        <w:spacing w:after="0" w:line="257"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1"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All such reported information is publicly available;</w:t>
      </w:r>
    </w:p>
    <w:p>
      <w:pPr>
        <w:spacing w:after="0" w:line="2"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4"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 by CMS and enforcement by the HHS Office of Inspector General or the U.S. Department of Justice.</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15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Relating to Our Intellectual Property Rights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It is difficult and costly to protect our intellectual property rights, and we cannot ensure the protection of these rights.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prosecute and defend, if necessary, our patent rights against third-party challenges and successfully enforcing these patent rights against third party competitors. The patent positions of biotech companies can be highly uncertain and involve complex legal, scientific and factual questions for which important legal principles remain unresolved. Changes in either the patent laws or in interpretations of patent laws may diminish the value of our intellectual property. Accordingly, we cannot predict the breadth of claims that may be allowable or enforceable in any patent applications filed by us or our licensors of patent rights. The patents and patent applications held by or licensed to us relating to our microbial platform and related technologies may be challenged, invalidated or circumvented by third parties and might not protect us against competitors with similar products or technologies.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1" w:name="page32"/>
    <w:bookmarkEnd w:id="31"/>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degree of future protection afforded by the patent rights held by or licensed to us is uncertain, because legal means afford only limited protection and may not adequately protect our rights, permit us to gain or keep our competitive advantage, or provide us with any competitive advantage at all. We cannot be certain that any patent application owned by a third party will not have priority over patent applications filed by us or in which we hold license rights or that we will not be involved in interference, opposition or invalidity proceedings before United States or foreign patent offices.</w:t>
      </w:r>
    </w:p>
    <w:p>
      <w:pPr>
        <w:spacing w:after="0" w:line="171"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Additionally, if we were to initiate legal proceedings against a third party to enforce a patent covering any of our product candidates, the defendant could counterclaim that such patent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United States Patent and Trademark Office, or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patents held by or licensed to us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any licensor of our patent rights or the patent examiner were unaware during prosecution. If a defendant were to prevail on a legal assertion of invalidity and/or unenforceability, we would lose at least part, and perhaps all, of the patent protection on any of our product candidates. Such a loss of patent protection would have a material adverse impact on our business.</w:t>
      </w:r>
    </w:p>
    <w:p>
      <w:pPr>
        <w:spacing w:after="0" w:line="182"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rely on know-how and trade secrets to protect technology, especially in cases where we believe patent protection is not appropriate or obtainable. However, know-how and trade secrets are difficult to protect. While we require employees, academic collaborators, consultants and other contractors to enter into confidentiality agreements, we may not be able to adequately protect our trade secrets or other proprietary or licensed information. Typically, research collaborators and scientific advisors have rights to publish data and information in which we may have rights. Enforcing a claim that a third party illegally obtained and is using any of our trade secrets is expensive and time consuming, and the outcome is unpredictable. In addition, courts are sometimes less willing to protect trade secrets than patents. Moreover, our competitors may independently develop equivalent knowledge, methods and know-how.</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we fail to obtain or maintain patent protection or trade secret protection for our product candidates or our technologies, third parties could use our proprietary information, which could impair our ability to compete in the market and adversely affect our ability to generate revenues and attain profitability.</w:t>
      </w:r>
    </w:p>
    <w:p>
      <w:pPr>
        <w:spacing w:after="0" w:line="149"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infringe the intellectual property rights of others, which could increase our costs and delay or prevent our development and commercialization efforts.</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Our success depends in part on avoiding infringement of the proprietary technologies of others. The pharmaceutical industry has been characterized by frequent litigation regarding patent and other intellectual property rights. Identification of third-party patent rights that may be relevant to our proprietary technology is difficult because patent searching is imperfect due to differences in terminology among patents, incomplete databases and the difficulty in assessing the meaning of patent claims. Additionally, because patent applications are maintained in secrecy until the application is published, we may be unaware of third-party patents that may be infringed by commercialization of any of our product candidates or any future product candidate. There may be certain issued patents and patent applications claiming subject matter that we may be required to license in order to research, develop or commercialize any of our product candidates, and we do not know if such patents and patent applications would be available to license on commercially reasonable terms, or at all. Any claims of patent infringement asserted by third parties would be time-consuming and may:</w:t>
      </w:r>
    </w:p>
    <w:p>
      <w:pPr>
        <w:spacing w:after="0" w:line="176" w:lineRule="exact"/>
        <w:rPr>
          <w:sz w:val="20"/>
          <w:szCs w:val="20"/>
          <w:color w:val="auto"/>
        </w:rPr>
      </w:pPr>
    </w:p>
    <w:p>
      <w:pPr>
        <w:ind w:left="920" w:hanging="305"/>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costly litigation;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2" w:name="page33"/>
    <w:bookmarkEnd w:id="32"/>
    <w:p>
      <w:pPr>
        <w:ind w:left="920" w:hanging="305"/>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time and attention of our technical personnel and management;</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us from commercializing a product until the asserted patent expires or is held finally invalid or not infringed in a court of law;</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cease or modify our use of the technology and/or develop non-infringing technology; or</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royalty or licensing agreements.</w:t>
      </w:r>
    </w:p>
    <w:p>
      <w:pPr>
        <w:spacing w:after="0" w:line="196"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Third parties may hold proprietary rights that could prevent any of our product candidates from being marketed. Any patent-related legal action against us claiming damages and seeking to enjoin commercial activities relating to any of our product candidates or our processes could subject us to potential liability for damages and require us to obtain a license to continue to manufacture or market any of our product candidates or any future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candidates or any future product candidates or processes to avoid infringement, if necessary. Accordingly, an adverse determination in a judicial or administrative proceeding, or the failure to obtain necessary licenses, could prevent us from developing and commercializing any of our product candidates or a future product candidate, which could harm our business, financial condition and operating results.</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expect that there are other companies, including major biopharmaceutical companies, working in the areas competitive to our proposed product candidates which either has resulted, or may result, in the filing of patent applications that may be deemed related to our activities. If we were to challenge the validity of these or any issued United States patent in court, we would need to overcome a statutory presumption of validity that attaches to every issued United States patent. This means that, in order to prevail, we would have to present clear and convincing evidence as to the invalidity of the patent’s claims. If we were to challenge the validity of these or any issued United States patent in an administrative trial before the Patent Trial and Appeal Board in the USPTO, we would have to prove that the claims are unpatentable by a preponderance of the evidence. There is no assurance that a jury and/or court would find in our favor on questions of infringement, validity or enforceability. Even if we are successful, litigation could result in substantial costs and be a distraction to management.</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49"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As is commonplace in our industry, we will employ individuals who were previously employed at other biopharmaceutical companies, including our competitors or potential competitors. Although no claims against us are currently pending, we may be subject in the future to claims that our employees or prospective employees are subject to a continuing obligation to their former employers (such as non-competition or non-solicitation obligations) or claims that our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this Offering and Owning Our Common Stock</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shares may be subject to fluctuation and volatility. You could lose all or part of your investment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market price of our common stock is subject to wide fluctuations in response to various factors, some of which are beyond our control. Since shares of our common stock were sold in our initial public offering, or IPO, in June 2023 at a price of $5.00 per share, the reported high and low sales prices of our common stock have ranged from $5.18 to $0.92 through January 12, 2024. The market price of our shares on the NYSE American may fluctuate as a result of a number of factors, some of which are beyond our control, including, but not limited to:</w:t>
      </w:r>
    </w:p>
    <w:p>
      <w:pPr>
        <w:spacing w:after="0" w:line="171" w:lineRule="exact"/>
        <w:rPr>
          <w:sz w:val="20"/>
          <w:szCs w:val="20"/>
          <w:color w:val="auto"/>
        </w:rPr>
      </w:pPr>
    </w:p>
    <w:p>
      <w:pPr>
        <w:ind w:left="5540" w:right="3240" w:hanging="4925"/>
        <w:spacing w:after="0" w:line="564" w:lineRule="auto"/>
        <w:tabs>
          <w:tab w:leader="none" w:pos="92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and our competitors’ results of operations and financial condition;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13994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3" w:name="page34"/>
    <w:bookmarkEnd w:id="33"/>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or recommendations by securities analysts, if our shares are covered by analysts;</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technological innovations or new competitive products by others;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innovations or new products by us;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the results of preclinical or clinical trials for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to achieve a publicly announced milestone;</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between our expenditures to develop and market new or enhanced products and the generation of sales from those products;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intellectual property rights, including our involvement in litigation brought by or against us;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and the decisions of regulatory authorities as to the approval or rejection of new or modified products;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amounts that we spend to develop, acquire or license new products, technologies or businesses;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expenditures to promote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 or proposed sale, or the sale by our significant stockholders, of our shares or other securities in the future;</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key personnel;</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failure of our research and development projects or those of our competitors;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volume of our shares; and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 and other factors, including factors unrelated to our operating performance.</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These factors and any corresponding price fluctuations may materially and adversely affect the market price of our shares and result in substantial losses being incurred by our investors. In the past, following periods of market volatility, public company stockholders have often instituted securities class action litigation. If we were involved in securities litigation, it could impose a substantial cost upon us and divert the resources and attention of our management from our business.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failure to meet the continued listing requirements of the NYSE American could result in a delisting of our common stock.</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If we fail to satisfy the continued listing requirements of the NYSE American, such as the corporate governance requirements or the minimum closing bid price requirement, the NYSE American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NYSE American’s minimum bid price requirement or prevent future non-compliance with the NYSE American’s listing requirements.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Future capital raises may dilute your ownership and/or have other adverse effects on our operations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If we raise additional capital by issuing equity securities, our existing stockholders’ percentage ownership will be reduced and these stockholders may experience substantial dilution. If we raise additional funds by issuing debt securities, these debt securities would have rights senior to those of our common stock and the terms of the debt securities issued could impose significant restrictions on our operations, including liens on our assets. If we raise additional funds through collaborations and licensing arrangements, we may be required to relinquish some rights to our intellectual property or candidate products, or to grant licenses on terms that are not favorable to 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4" w:name="page35"/>
    <w:bookmarkEnd w:id="34"/>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Shares eligible for future sale may adversely affect the market for our common stock</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As of the date of this prospectus, we have 12,097,643 shares of common stock issued and outstanding, all of which are eligible for sale by means of ordinary brokerage transactions in the open market pursuant to Rule 144, promulgated under the Securities Act, subject to certain limitations under Rule 144, except for approximately 588,745 shares of common stock held by our officers and directors which are subject to IPO lock-ups expiring in June 2024. We have granted demand and piggyback registration rights to the former holders of our convertible preferred stock and convertible promissory notes pursuant to which they may request the registration for resale of up to 9,542,519 shares of common stock. Any substantial sale of our common stock pursuant to Rule 144 or pursuant to any resale prospectus (including sales by investors of securities acquired in connection with this offering) may have a material adverse effect on the market price of our common stock.</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under the JOBS Act and we cannot be certain if the reduced disclosure requirements applicable to emerging growth companies will make our common stock less attractive to investors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w:t>
      </w:r>
    </w:p>
    <w:p>
      <w:pPr>
        <w:spacing w:after="0" w:line="153" w:lineRule="exact"/>
        <w:rPr>
          <w:sz w:val="20"/>
          <w:szCs w:val="20"/>
          <w:color w:val="auto"/>
        </w:rPr>
      </w:pPr>
    </w:p>
    <w:p>
      <w:pPr>
        <w:ind w:left="920" w:hanging="305"/>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of Section 404 of the Sarbanes-Oxley Act;</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in our periodic reports and proxy statements;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a nonbinding advisory vote on executive compensation and stockholder approval of any golden parachute payments;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extended transition periods available for complying with new or revised accounting standards.</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have chosen to take advantage of all of the benefits available under the JOBS Act, including the exemptions discussed above.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will remain an “emerging growth company” for up to five years, although we will lose that status sooner if our revenues exceed $1.235 billion, if we issue more than $1 billion in non-convertible debt in a three-year period, or if the market value of our common stock that is held by non-affiliates exceeds $700 million as of June 30 in any future year.</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status as an “emerging growth company” under the JOBS Act may make it more difficult to raise capital as and when we need it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Because of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have not paid dividends on our common stock in the past and have no immediate plans to pay such dividends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plan to reinvest all of our earnings, to the extent we have earnings, to cover operating costs and otherwise become and remain competitive. We do not plan to pay any cash dividends with respect to our common stock in the foreseeable future. We cannot assure you that we would, at any time, generate sufficient surplus cash that would be available for distribution to the holders of our common stock as a dividend. Therefore, you should not expect to receive cash dividends on the common stock we are offering.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5" w:name="page36"/>
    <w:bookmarkEnd w:id="35"/>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If equity research analysts do not publish research or reports about our business or if they issue unfavorable commentary or downgrade our shares, the price of our shares could decline</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trading market for our shares will rely in part on the research and reports that equity research analysts publish about us and our business, if at all. We do not have control over these analysts and we do not have commitments from them to write research reports about us. The price of our shares could decline if no research reports are published about us or our business, or if one or more equity research analysts downgrades our shares or if those analysts issue other unfavorable commentary or cease publishing reports about us or our business.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may be at an increased risk of securities class action litigation.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We maintain director and officer insurance that we regard as reasonably adequate to protect us from potential claims; however, we are responsible for meeting certain deductibles under the policies and, in any event, we cannot assure you that the insurance coverage will adequately protect us from claims made. Further, the costs of insurance may increase and the availability of coverage may decrease. As a result, we may not be able to maintain our current levels of insurance at a reasonable cost, or at all.</w:t>
      </w:r>
    </w:p>
    <w:p>
      <w:pPr>
        <w:spacing w:after="0" w:line="169"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in how we use the proceeds of this offering and may not use these proceeds effectively, which could affect our results of operations and cause our stock price to decline</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We may invest or spend these proceeds in ways with which you do not agree and in ways that may not yield a return on your investment. Our management will have considerable discretion in the application of the net proceeds of this offering, including for any purpose described in the section of this prospectus entitled </w:t>
      </w:r>
      <w:r>
        <w:rPr>
          <w:rFonts w:ascii="Times New Roman" w:cs="Times New Roman" w:eastAsia="Times New Roman" w:hAnsi="Times New Roman"/>
          <w:sz w:val="17"/>
          <w:szCs w:val="17"/>
          <w:i w:val="1"/>
          <w:iCs w:val="1"/>
          <w:color w:val="auto"/>
        </w:rPr>
        <w:t xml:space="preserve">“Use of Proceeds”. </w:t>
      </w:r>
      <w:r>
        <w:rPr>
          <w:rFonts w:ascii="Times New Roman" w:cs="Times New Roman" w:eastAsia="Times New Roman" w:hAnsi="Times New Roman"/>
          <w:sz w:val="17"/>
          <w:szCs w:val="17"/>
          <w:color w:val="auto"/>
        </w:rPr>
        <w:t>However, our needs may change as our business and industry evolve and, as a result, the proceeds we receive from this offering may be used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manner substantially different from our current expectations. We may use the net proceeds for purposes that do not yield a significant return or any return at all for our stockholders. In addition, pending their use, we may invest the net proceeds from this offering in a manner that does not produce income or that loses value. The failure by our management to apply these funds effectively could result in financial losses that could harm our business, cause the price of our common stock to decline and delay the development of our product candidates. You will not have the opportunity as part of your investment decision to assess whether the net proceeds are being used appropriately and, as a result, you will be relying on our management’s judgment.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charter documents and Delaware law may inhibit a takeover that stockholders consider favorable.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Provisions of our amended and restated certificate of incorporation and amended and restated bylaws and applicable provisions of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amended and restated certificate of incorporation and amended and restated bylaws:</w:t>
      </w:r>
    </w:p>
    <w:p>
      <w:pPr>
        <w:spacing w:after="0" w:line="171" w:lineRule="exact"/>
        <w:rPr>
          <w:sz w:val="20"/>
          <w:szCs w:val="20"/>
          <w:color w:val="auto"/>
        </w:rPr>
      </w:pPr>
    </w:p>
    <w:p>
      <w:pPr>
        <w:ind w:left="920" w:hanging="305"/>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who may call stockholder meetings;</w:t>
      </w:r>
    </w:p>
    <w:p>
      <w:pPr>
        <w:spacing w:after="0" w:line="26"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our stockholders from bringing matters before our annual meeting of stockholders or from making nominations for directors at our annual meeting of stockholders if the proper procedures are not followed;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provide for stockholder action by written consent;</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provide for cumulative voting rights; and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all board vacancies may be filled by the affirmative vote of a majority of directors then in office, even if less than a quorum.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6" w:name="page37"/>
    <w:bookmarkEnd w:id="36"/>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Section 203 of the DGCL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Changes in accounting standards and subjective assumptions, estimates and judgments by management related to complex accounting matters may materially impact reporting of our financial condition and results of operations.</w:t>
      </w:r>
    </w:p>
    <w:p>
      <w:pPr>
        <w:spacing w:after="0" w:line="149"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Accounting principles generally accepted in the United States and related accounting pronouncements, implementation guidelines, and interpretations we apply to a wide range of matters that are relevant to our business, such as accounting for long-lived asset impairment and share-based compensation, are complex and involve subjective assumptions, estimates and judgments by our management. Changes in these rules or their interpretation or changes in underlying assumptions, estimates or judgments by our management could significantly change or add significant volatility to our reported or expected financial performance.</w:t>
      </w:r>
    </w:p>
    <w:p>
      <w:pPr>
        <w:spacing w:after="0" w:line="167" w:lineRule="exact"/>
        <w:rPr>
          <w:sz w:val="20"/>
          <w:szCs w:val="20"/>
          <w:color w:val="auto"/>
        </w:rPr>
      </w:pPr>
    </w:p>
    <w:p>
      <w:pPr>
        <w:jc w:val="both"/>
        <w:ind w:right="20"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 potential failure to maintain effective internal control over financial reporting in accordance with Section 404 of the Sarbanes-Oxley Act could have a material adverse effect on our business, financial condition, and results of operations.</w:t>
      </w:r>
    </w:p>
    <w:p>
      <w:pPr>
        <w:spacing w:after="0" w:line="149"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or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74"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are required, pursuant to Section 404 of the Sarbanes-Oxley Act, to furnish a report by management on, among other things, the effectiveness of our internal control over financial reporting for our second annual report on Form 10-K filed with the SEC and in each year thereafter. Our auditors will also need to attest to the effectiveness of our internal control over financial reporting at such time as we are an accelerated filed or large accelerated filer and no longer an emerging growth company or smaller reporting company.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common stock are listed, the SEC or other regulatory authorities, which could require additional financial and management resources and could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7" w:name="page38"/>
    <w:bookmarkEnd w:id="37"/>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The limited amount of public company experience of our management team could adversely impact our ability to comply with the reporting requirements of U.S. securities laws, which could have a materially adverse effect on our business.</w:t>
      </w:r>
    </w:p>
    <w:p>
      <w:pPr>
        <w:spacing w:after="0" w:line="149"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officers have limited public company experience, which could impair our ability to comply with legal and regulatory requirements such as those imposed by Sarbanes-Oxley Act. Such responsibilities include complying with federal securities laws and making required disclosures on a timely basis. Any such deficiencies, weaknesses or lack of compliance could have a materially adverse effect on our ability to comply with the reporting requirements of the Securities Exchange Act of 1934, or the Exchange Act, which is necessary to maintain our public company status. If we were to fail to fulfill those obligations, our ability to continue as a U.S. public company would be in jeopardy in which event you could lose your entire investment in our Company.</w:t>
      </w:r>
    </w:p>
    <w:p>
      <w:pPr>
        <w:spacing w:after="0" w:line="170"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spacing w:after="0" w:line="168"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financial statements or identify other areas for further attention or improvement. Inferior internal controls could also cause investors to lose confidence in our reported financial information, which could have a negative effect on the trading price of our shares of common stock. There is also a risk that neither we nor our independent registered public accounting firm (when applicable in the future) will be able to conclude within the prescribed timeframe that internal controls over financial reporting is effective as required by Section 404. As a result, investors could lose confidence in our financial and other public reporting, which would harm our business and the trading price of our common stock.</w:t>
      </w:r>
    </w:p>
    <w:p>
      <w:pPr>
        <w:spacing w:after="0" w:line="18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the preparation of our financial statements included in this prospectus, we and our independent registered public accounting firm identified a material weakness as it relates to a lack of adequate segregation of accounting functions. We are in the process of implementing measures designed to improve our internal control over financial reporting and remediate this material weakness. We intend to increase staffing within our accounting infrastructure sufficient to facilitate proper segregation of accounting functions.</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may identify future material weaknesses in our internal controls over financial reporting or fail to meet the demands that will be placed upon us as a public company, including the requirements of the Sarbanes-Oxley, and we may be unable to accurately report our financial results, or report them within the timeframes required by law or stock exchange regulations. We cannot assure that our existing material weakness will be remediated or that additional material weaknesses will not exist or otherwise be discovered, any of which could adversely affect our reputation, financial condition and results of operations.</w:t>
      </w:r>
    </w:p>
    <w:p>
      <w:pPr>
        <w:spacing w:after="0" w:line="167"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have and will continue to incur significant increased costs as a result of being a public company that reports to the SEC and our management will be required to devote substantial time to meet compliance obligations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As a public company reporting to the SEC after this offering, we will continue to incur significant legal, accounting and other expenses that we did not incur as a private company. We are subject to reporting requirements of the Exchange Act and the reporting and governance provisions of the Sarbanes-Oxley Act and the Dodd-Frank Wall Street Reform and Protection Act, as well as rules subsequently implemented by the SEC, that impose significant requirements on public companies, including requiring establishment and maintenance of effective disclosure and financial controls and changes in corporate governance practices. There are significant corporate governance and reporting provisions in these laws that will increase our legal and financial compliance costs, make some activities more difficult, time-consuming or costly and may also place undue strain on our personnel, systems and resources. Our management and other personnel will need to devote a substantial amount of time to these regulations. In addition,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our Board committees or as executive officers.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8" w:name="page39"/>
    <w:bookmarkEnd w:id="38"/>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Unfavorable geopolitical and macroeconomic developments could adversely affect our business, financial condition or results of operations.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business could be adversely affected by conditions in the U.S. and global economies, the United States and global financial markets and adverse geopolitical and macroeconomic developments, including rising inflation rates, the ongoing COVID-19 pandemic, the Ukrainian/Russian and Israeli/Palestinian conflicts and related sanctions, bank failures, and economic uncertainties related to these conditions.</w:t>
      </w:r>
    </w:p>
    <w:p>
      <w:pPr>
        <w:spacing w:after="0" w:line="16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response to rising inflation, the U.S. Federal Reserve has raised, and may again raise, interest rates, which, coupled with reduced government spending and volatility in financial markets, may have the effect of further increasing economic uncertainty and heightening these risks. The failures of Silvergate Bank, Silicon Valley Bank and Signature Bank in March 2023 and First Republic Bank in May 2023, and fears of other bank failures, may exacerbate these risks. A weak or declining economy could also strain our suppliers and manufacturers, possibly resulting in supply disruption. Any of the foregoing could harm our business.</w:t>
      </w:r>
    </w:p>
    <w:p>
      <w:pPr>
        <w:spacing w:after="0" w:line="17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Additionally, financial markets around the world experienced volatility following the invasion of Ukraine by Russia in February 2022 and the eruption of the Israeli/Palestinian conflict in October 2023, including as a result of economic sanctions and export controls against Russia and countermeasures taken by Russia. The full economic and social impact of these sanctions and countermeasures, in addition to the ongoing military conflicts in Ukraine and Gaza, which could conceivably expand, remains uncertain; however, both the conflicts and related sanctions have resulted and could continue to result in disruptions to trade, commerce, pricing stability, credit availability, and/or supply chain continuity, in both Europe and globally, and has introduced significant uncertainty into global markets. While we do not currently operate in Russia, Ukraine or the Middle East, as the adverse effects of these conflicts continue to develop our business and results of operations may be adversely affected.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3"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This prospectus, including the sections entitled “</w:t>
      </w:r>
      <w:r>
        <w:rPr>
          <w:rFonts w:ascii="Times New Roman" w:cs="Times New Roman" w:eastAsia="Times New Roman" w:hAnsi="Times New Roman"/>
          <w:sz w:val="17"/>
          <w:szCs w:val="17"/>
          <w:i w:val="1"/>
          <w:iCs w:val="1"/>
          <w:color w:val="auto"/>
        </w:rPr>
        <w:t>Prospectus Summary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Management’s Discussion and Analysis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Condition and Results of Operations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contains forward-looking statements. The words “believe,” “may,” “will,” “potentially,”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 “continue,” “anticipate,” “intend,” “could,” “would,” “project,” “plan,” “expect” and similar expressions that convey uncertainty of future events or outcomes are intended to identify forward-looking statements. These forward-looking statements include, but are not limited to, statements concerning the following:</w:t>
      </w:r>
    </w:p>
    <w:p>
      <w:pPr>
        <w:spacing w:after="0" w:line="174" w:lineRule="exact"/>
        <w:rPr>
          <w:sz w:val="20"/>
          <w:szCs w:val="20"/>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and operating results;</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intentions, expectations and beliefs regarding anticipated growth, market penetration and trends in our business;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our plan of commercialization;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and clinically test our product candidates;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FDA approval for any of our product candidates;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all U.S. and foreign regulations concerning the development, manufacture and sale of our product candidates;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to manufacture our product candidates;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the net proceeds of this offering;</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market conditions on our stock price and operating results;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in our market and our ability to compete effectively;</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use the proceeds from this offering;</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initiating and defending intellectual property infringement and other claims;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attraction and retention of qualified employees and key personnel;</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acquisitions of or investments in complementary companies or technologies;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evolving legal standards and regulations, particularly concerning requirements for being a public company.</w:t>
      </w:r>
    </w:p>
    <w:p>
      <w:pPr>
        <w:spacing w:after="0" w:line="192"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These forward-looking statements are subject to a number of risks, uncertainties and assumptions, including those described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prospectus.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our forward-looking statements.</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 except as required by law.</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t>TRADEMARKS, SERVICE MARKS AND TRADE NAMES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own or have rights to use a number of registered and common law trademarks, service marks and/or trade names in connection with our business in the United States and/or in certain foreign jurisdictions.</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Solely for convenience, the trademarks, service marks, logos and trade names referred to in this prospectus are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estimate that the net proceeds from our issuance and sale of 16,667,000 shares of our common stock in this offering, at the public offering price of $0.30 per share, will be approximately $4,250,100 (or $4,936,350 if the underwriters exercise in full their option to purchase additional shares), and after deducting the estimated underwriting discounts and commissions and estimated offering expenses payable by us.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intend to use the net proceeds from this offering, along with our existing cash and cash equivalents, as follows:</w:t>
      </w:r>
    </w:p>
    <w:p>
      <w:pPr>
        <w:spacing w:after="0" w:line="213" w:lineRule="exact"/>
        <w:rPr>
          <w:sz w:val="20"/>
          <w:szCs w:val="20"/>
          <w:color w:val="auto"/>
        </w:rPr>
      </w:pPr>
    </w:p>
    <w:p>
      <w:pPr>
        <w:ind w:left="1220" w:hanging="605"/>
        <w:spacing w:after="0" w:line="282"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$1.2 million to fund clinical trials and product development, including $0.9 million for the ATR-12 Netherton syndrome program and $0.3 million for the ATR-04 EGFR inhibitor-associated rash program;</w:t>
      </w:r>
    </w:p>
    <w:p>
      <w:pPr>
        <w:spacing w:after="0" w:line="153"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$0.5 million for research and development focusing on new product development;</w:t>
      </w:r>
    </w:p>
    <w:p>
      <w:pPr>
        <w:spacing w:after="0" w:line="212"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$0.6 million for clinical manufacturing; and</w:t>
      </w:r>
    </w:p>
    <w:p>
      <w:pPr>
        <w:spacing w:after="0" w:line="212" w:lineRule="exact"/>
        <w:rPr>
          <w:rFonts w:ascii="Times New Roman" w:cs="Times New Roman" w:eastAsia="Times New Roman" w:hAnsi="Times New Roman"/>
          <w:sz w:val="17"/>
          <w:szCs w:val="17"/>
          <w:color w:val="auto"/>
        </w:rPr>
      </w:pPr>
    </w:p>
    <w:p>
      <w:pPr>
        <w:ind w:left="1220" w:hanging="605"/>
        <w:spacing w:after="0" w:line="282"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balance for other general corporate purposes, including in-licensing and partnering activities, laboratory facility improvements, general and administrative expenses and working capital.</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believe opportunities may exist from time to time to expand our current business through the acquisition or in-license of complementary product candidates. While we have no current agreements or plans for any specific acquisitions or in-licenses at this time, we may use a portion of the net proceeds for these purposes.</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amounts and timing of our actual expenditures will depend on numerous factors, including the progress of our clinical trials and other development and commercialization efforts for our initial product candidates, as well as the amount of cash used in our operations. However, we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short-and intermediate-term, interest-bearing obligations, investment-grade instruments, certificates of deposit or direct or guaranteed obligations of the government.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and we do not anticipate paying any cash dividends on our common stock in the foreseeable future. Investors should not purchase our common stock with the expectation of receiving cash dividends. The payment of dividends on our common stock, if any, in the future is within the discretion of our Board and will depend on our earnings, capital requirements and financial condition and other relevant facts. We currently intend to retain all future earnings, if any, to finance the development and growth of our business.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3" w:name="page44"/>
    <w:bookmarkEnd w:id="43"/>
    <w:p>
      <w:pPr>
        <w:ind w:left="4880"/>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our cash and capitalization as of September 30, 2023:</w:t>
      </w:r>
    </w:p>
    <w:p>
      <w:pPr>
        <w:spacing w:after="0" w:line="213" w:lineRule="exact"/>
        <w:rPr>
          <w:sz w:val="20"/>
          <w:szCs w:val="20"/>
          <w:color w:val="auto"/>
        </w:rPr>
      </w:pPr>
    </w:p>
    <w:p>
      <w:pPr>
        <w:ind w:left="1220" w:hanging="605"/>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actual basis; and</w:t>
      </w:r>
    </w:p>
    <w:p>
      <w:pPr>
        <w:spacing w:after="0" w:line="26"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as adjusted basis to reflect our sale of 16,667,000 shares of common stock in this offering at the public offering price of $0.30 per share, after deducting underwriting discounts and commissions and estimated offering expenses payable by us.</w:t>
      </w:r>
    </w:p>
    <w:p>
      <w:pPr>
        <w:spacing w:after="0" w:line="166" w:lineRule="exact"/>
        <w:rPr>
          <w:sz w:val="20"/>
          <w:szCs w:val="20"/>
          <w:color w:val="auto"/>
        </w:rPr>
      </w:pPr>
    </w:p>
    <w:p>
      <w:pPr>
        <w:ind w:firstLine="613"/>
        <w:spacing w:after="0" w:line="287" w:lineRule="auto"/>
        <w:rPr>
          <w:sz w:val="20"/>
          <w:szCs w:val="20"/>
          <w:color w:val="auto"/>
        </w:rPr>
      </w:pPr>
      <w:r>
        <w:rPr>
          <w:rFonts w:ascii="Times New Roman" w:cs="Times New Roman" w:eastAsia="Times New Roman" w:hAnsi="Times New Roman"/>
          <w:sz w:val="17"/>
          <w:szCs w:val="17"/>
          <w:color w:val="auto"/>
        </w:rPr>
        <w:t>You should read the information in this table together with our financial statements and related notes and “</w:t>
      </w:r>
      <w:r>
        <w:rPr>
          <w:rFonts w:ascii="Times New Roman" w:cs="Times New Roman" w:eastAsia="Times New Roman" w:hAnsi="Times New Roman"/>
          <w:sz w:val="17"/>
          <w:szCs w:val="17"/>
          <w:i w:val="1"/>
          <w:iCs w:val="1"/>
          <w:color w:val="auto"/>
        </w:rPr>
        <w:t>Management’s Discussion and Analysis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Condition and Results of Operations</w:t>
      </w:r>
      <w:r>
        <w:rPr>
          <w:rFonts w:ascii="Times New Roman" w:cs="Times New Roman" w:eastAsia="Times New Roman" w:hAnsi="Times New Roman"/>
          <w:sz w:val="17"/>
          <w:szCs w:val="17"/>
          <w:color w:val="auto"/>
        </w:rPr>
        <w:t>” appearing elsewhere in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gridSpan w:val="5"/>
          </w:tcPr>
          <w:p>
            <w:pPr>
              <w:jc w:val="right"/>
              <w:ind w:right="1240"/>
              <w:spacing w:after="0"/>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222"/>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4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As Adjusted</w:t>
            </w:r>
          </w:p>
        </w:tc>
        <w:tc>
          <w:tcPr>
            <w:tcW w:w="100" w:type="dxa"/>
            <w:vAlign w:val="bottom"/>
          </w:tcPr>
          <w:p>
            <w:pPr>
              <w:spacing w:after="0"/>
              <w:rPr>
                <w:sz w:val="19"/>
                <w:szCs w:val="19"/>
                <w:color w:val="auto"/>
              </w:rPr>
            </w:pPr>
          </w:p>
        </w:tc>
      </w:tr>
      <w:tr>
        <w:trPr>
          <w:trHeight w:val="224"/>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61"/>
        </w:trPr>
        <w:tc>
          <w:tcPr>
            <w:tcW w:w="700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Common stock, $0.0001 par value, 100,000,000 shares authorized, 12,097,643 shares issued and</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actual; 28,764,643 shares issued and outstanding, as adjusted</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1,210</w:t>
            </w:r>
          </w:p>
        </w:tc>
        <w:tc>
          <w:tcPr>
            <w:tcW w:w="2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2,876</w:t>
            </w:r>
          </w:p>
        </w:tc>
      </w:tr>
      <w:tr>
        <w:trPr>
          <w:trHeight w:val="204"/>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51,475</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56,473</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7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(46,144)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(46,144)</w:t>
            </w:r>
          </w:p>
        </w:tc>
      </w:tr>
      <w:tr>
        <w:trPr>
          <w:trHeight w:val="224"/>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5"/>
        </w:trPr>
        <w:tc>
          <w:tcPr>
            <w:tcW w:w="7000" w:type="dxa"/>
            <w:vAlign w:val="bottom"/>
          </w:tcPr>
          <w:p>
            <w:pPr>
              <w:ind w:left="180"/>
              <w:spacing w:after="0" w:line="189" w:lineRule="exact"/>
              <w:rPr>
                <w:sz w:val="20"/>
                <w:szCs w:val="20"/>
                <w:color w:val="auto"/>
              </w:rPr>
            </w:pPr>
            <w:r>
              <w:rPr>
                <w:rFonts w:ascii="Times New Roman" w:cs="Times New Roman" w:eastAsia="Times New Roman" w:hAnsi="Times New Roman"/>
                <w:sz w:val="17"/>
                <w:szCs w:val="17"/>
                <w:color w:val="auto"/>
              </w:rPr>
              <w:t>Total capitalization</w:t>
            </w:r>
          </w:p>
        </w:tc>
        <w:tc>
          <w:tcPr>
            <w:tcW w:w="420" w:type="dxa"/>
            <w:vAlign w:val="bottom"/>
          </w:tcPr>
          <w:p>
            <w:pPr>
              <w:spacing w:after="0"/>
              <w:rPr>
                <w:sz w:val="16"/>
                <w:szCs w:val="16"/>
                <w:color w:val="auto"/>
              </w:rPr>
            </w:pPr>
          </w:p>
        </w:tc>
        <w:tc>
          <w:tcPr>
            <w:tcW w:w="360" w:type="dxa"/>
            <w:vAlign w:val="bottom"/>
            <w:tcBorders>
              <w:bottom w:val="single" w:sz="8" w:color="auto"/>
            </w:tcBorders>
          </w:tcPr>
          <w:p>
            <w:pPr>
              <w:jc w:val="right"/>
              <w:ind w:right="17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5,332</w:t>
            </w:r>
          </w:p>
        </w:tc>
        <w:tc>
          <w:tcPr>
            <w:tcW w:w="360" w:type="dxa"/>
            <w:vAlign w:val="bottom"/>
          </w:tcPr>
          <w:p>
            <w:pPr>
              <w:spacing w:after="0"/>
              <w:rPr>
                <w:sz w:val="16"/>
                <w:szCs w:val="16"/>
                <w:color w:val="auto"/>
              </w:rPr>
            </w:pPr>
          </w:p>
        </w:tc>
        <w:tc>
          <w:tcPr>
            <w:tcW w:w="220" w:type="dxa"/>
            <w:vAlign w:val="bottom"/>
            <w:tcBorders>
              <w:bottom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9,582</w:t>
            </w:r>
          </w:p>
        </w:tc>
        <w:tc>
          <w:tcPr>
            <w:tcW w:w="100" w:type="dxa"/>
            <w:vAlign w:val="bottom"/>
          </w:tcPr>
          <w:p>
            <w:pPr>
              <w:spacing w:after="0"/>
              <w:rPr>
                <w:sz w:val="16"/>
                <w:szCs w:val="16"/>
                <w:color w:val="auto"/>
              </w:rPr>
            </w:pPr>
          </w:p>
        </w:tc>
      </w:tr>
      <w:tr>
        <w:trPr>
          <w:trHeight w:val="414"/>
        </w:trPr>
        <w:tc>
          <w:tcPr>
            <w:tcW w:w="70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7"/>
                <w:szCs w:val="17"/>
                <w:color w:val="auto"/>
              </w:rPr>
              <w:t>40</w:t>
            </w: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you invest in our common stock in this offering, your interest will be diluted to the extent of the difference between the amount per share paid by purchasers of shares of common stock in this offering and the as adjusted net tangible book value per share of common stock immediately after the completion of this offering.</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of September 30, 2023, our net tangible book value was approximately $5.3 million, or $0.44 per share of common stock. Our net tangible book value per share represents the amount of our total tangible assets reduced by the amount of our total liabilities and divided by the total number of shares of our common stock outstanding as of September 30, 2023.</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After giving effect to our sale in this offering of 16,667,000 shares of our common stock, at the public offering price of $0.30 per share, after deducting underwriting discounts and commissions and estimated offering expenses payable by us, our as adjusted net tangible book value as of September 30, 2023 would have been approximately $9.6 million, or $0.33 per share of our common stock. This represents an immediate decrease in as adjusted net tangible book value of $0.11 per share to our existing stockholders and an immediate increase in as adjusted net tangible book value of $0.03 per share to investors purchasing shares in this offering.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illustrates this dilution:</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public offering price per share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0.30</w:t>
            </w:r>
          </w:p>
        </w:tc>
      </w:tr>
      <w:tr>
        <w:trPr>
          <w:trHeight w:val="204"/>
        </w:trPr>
        <w:tc>
          <w:tcPr>
            <w:tcW w:w="7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tangible book value per share as of September 30, 2023, before giving effect to this offering</w:t>
            </w: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0.44</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7200" w:type="dxa"/>
            <w:vAlign w:val="bottom"/>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Decrease in net tangible book value per share attributable to new investors purchasing shares in this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3"/>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offering</w:t>
            </w:r>
          </w:p>
        </w:tc>
        <w:tc>
          <w:tcPr>
            <w:tcW w:w="9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0.11</w:t>
            </w:r>
          </w:p>
        </w:tc>
        <w:tc>
          <w:tcPr>
            <w:tcW w:w="7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8"/>
        </w:trPr>
        <w:tc>
          <w:tcPr>
            <w:tcW w:w="72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As adjusted net tangible book value per share, after giving effect to this offering</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80" w:type="dxa"/>
            <w:vAlign w:val="bottom"/>
            <w:tcBorders>
              <w:top w:val="single" w:sz="8" w:color="CCEEFF"/>
            </w:tcBorders>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0.33</w:t>
            </w:r>
          </w:p>
        </w:tc>
      </w:tr>
      <w:tr>
        <w:trPr>
          <w:trHeight w:val="175"/>
        </w:trPr>
        <w:tc>
          <w:tcPr>
            <w:tcW w:w="720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Increase in as adjusted net tangible book value per share to new investors purchasing shares in this</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foregoing tables and calculations are based on 12,097,643 shares of our common stock outstanding as of January 12, 2024 and excludes:</w:t>
      </w:r>
    </w:p>
    <w:p>
      <w:pPr>
        <w:spacing w:after="0" w:line="213" w:lineRule="exact"/>
        <w:rPr>
          <w:sz w:val="20"/>
          <w:szCs w:val="20"/>
          <w:color w:val="auto"/>
        </w:rPr>
      </w:pPr>
    </w:p>
    <w:p>
      <w:pPr>
        <w:ind w:left="1220" w:hanging="605"/>
        <w:spacing w:after="0" w:line="261"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1,288,255 shares of our common stock issuable upon exercise of outstanding options, with a weighted average exercise price of $1.36 per share, granted pursuant to our 2016 Plan and 2023 Plan;</w:t>
      </w:r>
    </w:p>
    <w:p>
      <w:pPr>
        <w:ind w:left="1220" w:hanging="605"/>
        <w:spacing w:after="0" w:line="250"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323,736 shares of our common stock issuable upon exercise of outstanding warrants, with a weighted average exercise price of $4.75 per share;</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2,500,000 shares of our common stock issuable pursuant to the underwriters’ over-allotment option;</w:t>
      </w:r>
    </w:p>
    <w:p>
      <w:pPr>
        <w:spacing w:after="0" w:line="8"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666,680 shares issuable upon exercise of a warrant to be issued to the underwriter as part of its compensation in connection with this offering (up to 766,680 shares if the over-allotment option is exercised in full) at an exercise price of $0.375 per share (125% of the public offering price per share of the shares of common stock sold in this offering); and</w:t>
      </w:r>
    </w:p>
    <w:p>
      <w:pPr>
        <w:spacing w:after="0" w:line="1"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242,345 shares of our common stock reserved for future grants under our 2016 Plan and 1,960,000 shares of our common stock reserved for future grants under our 2023 Plan.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FINANCIAL CONDITION AND RESULTS OF OPERATIONS</w:t>
      </w:r>
    </w:p>
    <w:p>
      <w:pPr>
        <w:spacing w:after="0" w:line="192"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together with our financial statements and the related notes included elsewhere in this prospectus. This discussion contains forward-looking statements that are based on our current expectations, estimates and projections about our business and operations. Our actual results may differ materially from those currently anticipated and expressed in such forward-looking statements as a result of a number of factors, including those which we discuss under “Risk Factors” and elsewhere in this prospectus. See the section titled “Cautionary Note Regarding Forward-Looking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were formed in January 2014 as a biopharmaceutical company focused on developing innovative therapies for precision dermatology using engineered proteins and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drug-like molecules. The platform also utilizes a licensed genetic engineering technology, which can enable the transformation of previously genetically intractable strains. We are an early-stage clinical biopharmaceutical company and have not commenced commercial operations.</w:t>
      </w:r>
    </w:p>
    <w:p>
      <w:pPr>
        <w:spacing w:after="0" w:line="17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To date, we have capitalized our operations primarily through a series of private placements of our convertible preferred stock and convertible promissory notes and our initial public offering, or IPO, of common stock which closed on June 21, 2023. In connection with our IPO, we issued 1.5 million shares of our common stock at a public offering price of $5 per share. Concurrent with the close of our IPO, all of our outstanding shares of convertible preferred stock and convertible promissory notes converted into a total of 8,951,526 shares of our common stock. As of November 14, 2023, we had 12,097,643 shares of our common stock issued and outstanding. Except as otherwise indicated, all share and share price in this prospectus gives effect to a forward stock split effected on May 17, 2023 at a ratio of 7.1-for-1.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are an early-stage clinical biopharmaceutical company, formed in January 2014, and have limited operating history. We have not commenced revenue-producing operations apart from limited service revenue derived through our JDA with Bayer. Under the terms of the JDA, we are responsible for testing our library of microbial strains and their natural products for key preclinical properties and Bayer reimburses us for our development costs. To date, our operations have consisted of the development of our proprietary microbial library, the identification, characterization and testing of certain bacterial species from our microbial library that we believe are capable of being engineered to provide significant therapeutic effect and the development of our initial product candidates.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6"/>
        </w:trPr>
        <w:tc>
          <w:tcPr>
            <w:tcW w:w="9820" w:type="dxa"/>
            <w:vAlign w:val="bottom"/>
            <w:gridSpan w:val="12"/>
          </w:tcPr>
          <w:p>
            <w:pPr>
              <w:ind w:left="2180"/>
              <w:spacing w:after="0"/>
              <w:rPr>
                <w:sz w:val="20"/>
                <w:szCs w:val="20"/>
                <w:color w:val="auto"/>
              </w:rPr>
            </w:pPr>
            <w:r>
              <w:rPr>
                <w:rFonts w:ascii="Times New Roman" w:cs="Times New Roman" w:eastAsia="Times New Roman" w:hAnsi="Times New Roman"/>
                <w:sz w:val="17"/>
                <w:szCs w:val="17"/>
                <w:b w:val="1"/>
                <w:bCs w:val="1"/>
                <w:color w:val="auto"/>
              </w:rPr>
              <w:t>Nine Months Ended September 30, 2023 Compared to Nine Months Ended September 30, 2022</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26"/>
        </w:trPr>
        <w:tc>
          <w:tcPr>
            <w:tcW w:w="4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4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gridSpan w:val="2"/>
          </w:tcPr>
          <w:p>
            <w:pPr>
              <w:spacing w:after="0"/>
              <w:rPr>
                <w:sz w:val="19"/>
                <w:szCs w:val="19"/>
                <w:color w:val="auto"/>
              </w:rPr>
            </w:pPr>
          </w:p>
        </w:tc>
      </w:tr>
      <w:tr>
        <w:trPr>
          <w:trHeight w:val="224"/>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revenue - related party</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41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revenue</w:t>
            </w:r>
          </w:p>
        </w:tc>
        <w:tc>
          <w:tcPr>
            <w:tcW w:w="1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596,000</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253,500</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342,500</w:t>
            </w:r>
          </w:p>
        </w:tc>
        <w:tc>
          <w:tcPr>
            <w:tcW w:w="3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135</w:t>
            </w:r>
          </w:p>
        </w:tc>
        <w:tc>
          <w:tcPr>
            <w:tcW w:w="2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rPr>
              <w:t>%</w:t>
            </w:r>
          </w:p>
        </w:tc>
      </w:tr>
      <w:tr>
        <w:trPr>
          <w:trHeight w:val="204"/>
        </w:trPr>
        <w:tc>
          <w:tcPr>
            <w:tcW w:w="4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3,443,559</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2,583,818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859,741</w:t>
            </w:r>
          </w:p>
        </w:tc>
        <w:tc>
          <w:tcPr>
            <w:tcW w:w="3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w:t>
            </w:r>
          </w:p>
        </w:tc>
      </w:tr>
      <w:tr>
        <w:trPr>
          <w:trHeight w:val="222"/>
        </w:trPr>
        <w:tc>
          <w:tcPr>
            <w:tcW w:w="4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2,188,795</w:t>
            </w:r>
          </w:p>
        </w:tc>
        <w:tc>
          <w:tcPr>
            <w:tcW w:w="100" w:type="dxa"/>
            <w:vAlign w:val="bottom"/>
          </w:tcPr>
          <w:p>
            <w:pPr>
              <w:spacing w:after="0"/>
              <w:rPr>
                <w:sz w:val="19"/>
                <w:szCs w:val="19"/>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4,425,195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(2,236,400)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5,632,354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7,009,013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(1,376,659</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0"/>
              </w:rPr>
              <w:t>)%</w:t>
            </w:r>
          </w:p>
        </w:tc>
      </w:tr>
      <w:tr>
        <w:trPr>
          <w:trHeight w:val="204"/>
        </w:trPr>
        <w:tc>
          <w:tcPr>
            <w:tcW w:w="4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(5,036,354)</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(6,755,513)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1,719,159</w:t>
            </w:r>
          </w:p>
        </w:tc>
        <w:tc>
          <w:tcPr>
            <w:tcW w:w="3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4"/>
        </w:trPr>
        <w:tc>
          <w:tcPr>
            <w:tcW w:w="4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4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tcPr>
          <w:p>
            <w:pPr>
              <w:spacing w:after="0"/>
              <w:rPr>
                <w:sz w:val="17"/>
                <w:szCs w:val="17"/>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4,056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(2,872)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(166,729)</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(66,781)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(99,948)</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w:t>
            </w:r>
          </w:p>
        </w:tc>
      </w:tr>
      <w:tr>
        <w:trPr>
          <w:trHeight w:val="204"/>
        </w:trPr>
        <w:tc>
          <w:tcPr>
            <w:tcW w:w="4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retention credit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229,813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(229,813)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Forgiveness of accounts payable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56,285</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56,285</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4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(3,630,100)</w:t>
            </w:r>
          </w:p>
        </w:tc>
        <w:tc>
          <w:tcPr>
            <w:tcW w:w="100" w:type="dxa"/>
            <w:vAlign w:val="bottom"/>
          </w:tcPr>
          <w:p>
            <w:pPr>
              <w:spacing w:after="0"/>
              <w:rPr>
                <w:sz w:val="17"/>
                <w:szCs w:val="17"/>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(3,630,100)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r>
      <w:tr>
        <w:trPr>
          <w:trHeight w:val="237"/>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(54,282)</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(45,365)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(8,917)</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w:t>
            </w:r>
          </w:p>
        </w:tc>
      </w:tr>
      <w:tr>
        <w:trPr>
          <w:trHeight w:val="195"/>
        </w:trPr>
        <w:tc>
          <w:tcPr>
            <w:tcW w:w="414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other income (expense)</w:t>
            </w:r>
          </w:p>
        </w:tc>
        <w:tc>
          <w:tcPr>
            <w:tcW w:w="104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(3,793,642</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121,723</w:t>
            </w:r>
          </w:p>
        </w:tc>
        <w:tc>
          <w:tcPr>
            <w:tcW w:w="1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(3,915,365</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(3,217</w:t>
            </w:r>
          </w:p>
        </w:tc>
        <w:tc>
          <w:tcPr>
            <w:tcW w:w="20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w w:val="90"/>
              </w:rPr>
              <w:t>)%</w:t>
            </w:r>
          </w:p>
        </w:tc>
      </w:tr>
      <w:tr>
        <w:trPr>
          <w:trHeight w:val="204"/>
        </w:trPr>
        <w:tc>
          <w:tcPr>
            <w:tcW w:w="4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(8,829,996)</w:t>
            </w:r>
          </w:p>
        </w:tc>
        <w:tc>
          <w:tcPr>
            <w:tcW w:w="100" w:type="dxa"/>
            <w:vAlign w:val="bottom"/>
          </w:tcPr>
          <w:p>
            <w:pPr>
              <w:spacing w:after="0"/>
              <w:rPr>
                <w:sz w:val="17"/>
                <w:szCs w:val="17"/>
                <w:color w:val="auto"/>
              </w:rPr>
            </w:pP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(6,633,790)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(2,196,206)</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33%</w:t>
            </w:r>
          </w:p>
        </w:tc>
      </w:tr>
      <w:tr>
        <w:trPr>
          <w:trHeight w:val="23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(1,355,347)</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(2,076,737)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721,390</w:t>
            </w:r>
          </w:p>
        </w:tc>
        <w:tc>
          <w:tcPr>
            <w:tcW w:w="3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2"/>
        </w:trPr>
        <w:tc>
          <w:tcPr>
            <w:tcW w:w="4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10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(10,185,343</w:t>
            </w:r>
          </w:p>
        </w:tc>
        <w:tc>
          <w:tcPr>
            <w:tcW w:w="320" w:type="dxa"/>
            <w:vAlign w:val="bottom"/>
            <w:tcBorders>
              <w:top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(8,710,527</w:t>
            </w:r>
          </w:p>
        </w:tc>
        <w:tc>
          <w:tcPr>
            <w:tcW w:w="180" w:type="dxa"/>
            <w:vAlign w:val="bottom"/>
            <w:tcBorders>
              <w:top w:val="single" w:sz="8" w:color="CCEEFF"/>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(1,474,816</w:t>
            </w:r>
          </w:p>
        </w:tc>
        <w:tc>
          <w:tcPr>
            <w:tcW w:w="320" w:type="dxa"/>
            <w:vAlign w:val="bottom"/>
            <w:tcBorders>
              <w:top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Service Revenue - Related Party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generated $596,000 of service revenue under the Bayer JDA during the first nine months of fiscal 2023 compared to service revenue of $253,500 under the JDA for the comparable period in fiscal 2022. The increase of $342,500 in service revenue is attributable to an increase in the amount of reimbursable development costs in 2023.</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General and administrative costs during the first nine months of fiscal 2023 increased by $859,741, or 33%, to $3,443,559 from the prior year period. The increase was primarily related to an increase of $1,167,000 in accounting, financing, legal and insurance costs offset by a decrease of $381,000 in payroll and related costs and debt issuance costs, and a net increase of $73,741 in other overhead expenses.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include salaries and benefits of all research personnel, payments to contract research organizations, payments to research consultants, and the purchase of lab supplies. These expenses are offset by income earned from government grant payments. We generate grant revenue on contracts with various federal agencies and nonprofit research institutions for general research conducted by us. These grant arrangements also do not meet the criteria for revenue recognition, and amounts earned under these grant contracts are recorded as a negative research and development expense.</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the first nine months of fiscal 2023, research and development expenses decreased by $2,236,400, or 51%, to $2,188,795 from the prior year period. The decrease was primarily related to a decrease of $1,547,000 in research and development related costs attributable to our efforts in moving our Netherton program forward, a net decrease in payroll and related costs of $702,000 attributable to a reduction in staff and a net decrease of $12,600 of other costs. There was no government and nonprofit grant revenue received by us during the first nine months of fiscal 2023 or 2022.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7" w:name="page48"/>
    <w:bookmarkEnd w:id="47"/>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expect our research and development expenses to significantly increase in the future primarily due to our planned clinical trial activity and continued development of product candidates.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Our other income (expense) consists of refundable research and development credits, valuation of warrants, amortization of debt issuance costs, forgiveness of accounts payable, loss on disposal of equipment, loss on foreign currency translation, employee retention credit, change in fair value of the convertible note and interest expense. During the first nine months of fiscal 2023, other income (expense) increased by $3,915,365, or 3,217%, compared to the comparable period in fiscal 2022. The increase was primarily related to an increase of $3,630,100 attributable to the change in fair value of the convertible note, an increase of $99,948 attributable to interest expense, an increase of $229,813 attributable to the employee retention credit, a decrease of $56,285 attributable to forgiveness of accounts payable and a net increase of $11,789 attributable to other income and expense.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2"/>
        </w:trPr>
        <w:tc>
          <w:tcPr>
            <w:tcW w:w="5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revenue – related party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284,000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174,000</w:t>
            </w: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284,000</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110,000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174,000</w:t>
            </w:r>
          </w:p>
        </w:tc>
        <w:tc>
          <w:tcPr>
            <w:tcW w:w="3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4"/>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3,639,666</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3,951,352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(311,686)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6,097,938</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5,380,102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717,836</w:t>
            </w: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9,737,604</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9,331,454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406,150</w:t>
            </w:r>
          </w:p>
        </w:tc>
        <w:tc>
          <w:tcPr>
            <w:tcW w:w="3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(9,453,604)</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(9,221,454)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(232,150)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4,818</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8,759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(3,941)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4"/>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(251,891)</w:t>
            </w:r>
          </w:p>
        </w:tc>
        <w:tc>
          <w:tcPr>
            <w:tcW w:w="260" w:type="dxa"/>
            <w:vAlign w:val="bottom"/>
          </w:tcPr>
          <w:p>
            <w:pPr>
              <w:spacing w:after="0"/>
              <w:rPr>
                <w:sz w:val="17"/>
                <w:szCs w:val="17"/>
                <w:color w:val="auto"/>
              </w:rPr>
            </w:pPr>
          </w:p>
        </w:tc>
        <w:tc>
          <w:tcPr>
            <w:tcW w:w="116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(66,968)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(184,923)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65,849</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112,141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(46,292)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4"/>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retention credit</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229,813</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229,813</w:t>
            </w:r>
          </w:p>
        </w:tc>
        <w:tc>
          <w:tcPr>
            <w:tcW w:w="3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Forgiveness of Payroll Protection Program loan</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232,506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(232,506)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(1,250,000)</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(1,250,000)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(25,351)</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(4,659)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(20,692)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Total other income (expense)</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(1,226,762)</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281,779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(1,508,541)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before income taxes</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(8,939,675)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(1,740,691)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(8,939,675</w:t>
            </w:r>
          </w:p>
        </w:tc>
        <w:tc>
          <w:tcPr>
            <w:tcW w:w="180" w:type="dxa"/>
            <w:vAlign w:val="bottom"/>
            <w:tcBorders>
              <w:top w:val="single" w:sz="8" w:color="CCEEFF"/>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(1,740,691</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Service Revenue - Related Party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generated $284,000 of service revenue under the Bayer JDA during fiscal 2022 compared to service revenue of $110,000 under the JDA in fiscal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of $174,000 in service revenue is attributable to an increased amount of reimbursable development costs in 2022.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8" w:name="page49"/>
    <w:bookmarkEnd w:id="48"/>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General and administrative costs during fiscal 2022 decreased by $311,686, or 8%, to $3,639,666 from the prior year period. The decrease was primarily related to a decrease of $961,000 in payroll and related costs attributable to the discontinuation of separation benefits paid to our former chief executive officer and chief operating officer and the reduction in recruiting expenses for our new chief executive officer, offset by an increase of $607,000 in accounting and legal fees, and $43,000 net increase of other overhead expenses.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include salaries and benefits of all research personnel, payments to contract research organizations, payments to research consultants, and the purchase of lab supplies. These expenses are offset by income earned from government grant payments. We generate grant revenue on contracts with various federal agencies and nonprofit research institutions for general research conducted by us. These grant arrangements also do not meet the criteria for revenue recognition and amounts earned under these grant contracts are recorded as a negative research and development expense.</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fiscal 2022, research and development expenses increased by $717,836, or 13%, to $6,097,938 from the prior year period. The increase was primarily related to an increase of $808,000 in research and development related costs attributable to our efforts in moving our Netherton program forward offset by a net decrease in payroll and related costs of $85,738 attributable to a reduction in staff. Research and development expenses in fiscal 2022 and 2021 were offset by $4,426 and $202,509, respectively, of government and nonprofit grant revenue received by us.</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expect our research and development expenses to significantly increase in the future primarily due to our planned clinical trial activity and continued development of product candidates.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other income (expense) consists of refundable research and development credits, employee retention credit, forgiveness of the payroll protection loan, valuation of warrants, amortization of debt issuance costs, change in fair value of the convertible note and interest expense on the placement of the $1 million unsecured promissory note in January 2021. During fiscal 2022, other income (expense) increased by $1,508,541, or 734%, compared to fiscal 2021. The increase was primarily related to an increase of $1,250,000 attributable to the change in fair value of the convertible note, an increase of $229,813 attributable to the employee retention credit, an increase of $184,923 attributable to interest expense offset by a net decrease of $156,195 of other income and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Financial Condition</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As of September 30, 2023, we had total assets of $7.5 million and working capital of $3.4 million. As of September 30, 2023, our liquidity included approximately $4.4 million of cash and cash equivalents. As of the date of this prospectus, our projected working capital needs consist of funds with which to further clinical trials and product development, research and development, clinical manufacturing as well as for other general corporate purposes, including general and administrative expenses. See the section 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Funding Requirements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believe that net proceeds of this offering, along with our cash on hand as of the date of this prospectus, may not be sufficient to cover our proposed plan of operations over, at least, the 12 months following this offering. We intend to seek additional funds through various financing sources, including the sale of our equity and debt securities, licensing fees for our technology and joint ventures with industry partners. In addition, we will consider alternatives to our current business plan that may enable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9" w:name="page50"/>
    <w:bookmarkEnd w:id="49"/>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equity or convertible debt securities, our common stockholders’ ownership interests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report of our independent registered public accounting firm for the nine months ended September 30, 2023 states that due to our accumulated deficit, recurring and negative cash flow from operations there is substantial doubt about our ability to continue as a going concern. Our financial statements, in Note 1, include disclosure with respect to a substantial doubt about our ability to continue as a going concern and the report of our independent auditor includes an explanatory paragraph with respect to that substantial doubt.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Material contractual obligations arising in the normal course of business primarily consist of operating leases. See Note 15 to our audited financial statements for future minimum payments under non-cancelable operating leases with initial or remaining terms in excess of one year during over the next five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68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shows a summary of our cash flows for the periods indicated:</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6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6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r>
      <w:tr>
        <w:trPr>
          <w:trHeight w:val="204"/>
        </w:trPr>
        <w:tc>
          <w:tcPr>
            <w:tcW w:w="6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(4,778,962)</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(6,176,777)</w:t>
            </w:r>
          </w:p>
        </w:tc>
      </w:tr>
      <w:tr>
        <w:trPr>
          <w:trHeight w:val="204"/>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(258,274)</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(239,970)</w:t>
            </w: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5,944,907</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4,310,807</w:t>
            </w:r>
          </w:p>
        </w:tc>
      </w:tr>
      <w:tr>
        <w:trPr>
          <w:trHeight w:val="222"/>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907,671</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(2,105,940)</w:t>
            </w:r>
          </w:p>
        </w:tc>
      </w:tr>
    </w:tbl>
    <w:p>
      <w:pPr>
        <w:spacing w:after="0" w:line="166"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During the first nine months of fiscal 2023, operating activities used $4.8 million of cash primarily driven by our net loss of $8.8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offset by non-cash items of $4.0 million. During the comparable period of fiscal 2022, operating activities used $6.2 million of cash primarily driven by our net loss of $6.6 million offset by non-cash items of $400,000.</w:t>
      </w:r>
    </w:p>
    <w:p>
      <w:pPr>
        <w:spacing w:after="0" w:line="15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Investing Activities</w:t>
      </w:r>
      <w:r>
        <w:rPr>
          <w:rFonts w:ascii="Times New Roman" w:cs="Times New Roman" w:eastAsia="Times New Roman" w:hAnsi="Times New Roman"/>
          <w:sz w:val="17"/>
          <w:szCs w:val="17"/>
          <w:color w:val="auto"/>
        </w:rPr>
        <w:t>. During the first nine months of fiscal 2023, investing activities used $258,274 of cash primarily driven by $235,000 of trademark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patent costs and $23,000 for the purchase of furniture and equipment. During the comparable period of fiscal 2022, investing activities used $240,000 of cash primarily driven by $221,000 of trademark and patent costs and $19,000 for the purchase of furniture and equipment.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0" w:name="page51"/>
    <w:bookmarkEnd w:id="50"/>
    <w:p>
      <w:pPr>
        <w:ind w:left="620"/>
        <w:spacing w:after="0"/>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During the first nine months of fiscal 2023, financing activities provided $5.9 million in cash driven by proceeds from our IPO.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comparable period of fiscal 2022, financing activities provided $4.3 million in cash primarily driven by the proceeds from the convertible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20" w:type="dxa"/>
            <w:vAlign w:val="bottom"/>
            <w:gridSpan w:val="5"/>
          </w:tcPr>
          <w:p>
            <w:pPr>
              <w:jc w:val="right"/>
              <w:ind w:right="9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2"/>
        </w:trPr>
        <w:tc>
          <w:tcPr>
            <w:tcW w:w="520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Used in Operating Activities</w:t>
            </w:r>
          </w:p>
        </w:tc>
        <w:tc>
          <w:tcPr>
            <w:tcW w:w="2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(8,349,469)</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(8,067,359)</w:t>
            </w:r>
          </w:p>
        </w:tc>
        <w:tc>
          <w:tcPr>
            <w:tcW w:w="100" w:type="dxa"/>
            <w:vAlign w:val="bottom"/>
            <w:shd w:val="clear" w:color="auto" w:fill="CCEEFF"/>
          </w:tcPr>
          <w:p>
            <w:pPr>
              <w:spacing w:after="0"/>
              <w:rPr>
                <w:sz w:val="17"/>
                <w:szCs w:val="17"/>
                <w:color w:val="auto"/>
              </w:rPr>
            </w:pPr>
          </w:p>
        </w:tc>
      </w:tr>
      <w:tr>
        <w:trPr>
          <w:trHeight w:val="204"/>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62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(336,761)</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(652,275)</w:t>
            </w:r>
          </w:p>
        </w:tc>
      </w:tr>
      <w:tr>
        <w:trPr>
          <w:trHeight w:val="20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provided by Financing Activities</w:t>
            </w:r>
          </w:p>
        </w:tc>
        <w:tc>
          <w:tcPr>
            <w:tcW w:w="262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4,134,624</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992,862</w:t>
            </w:r>
          </w:p>
        </w:tc>
      </w:tr>
      <w:tr>
        <w:trPr>
          <w:trHeight w:val="22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62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(4,551,606)</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(7,726,772)</w:t>
            </w:r>
          </w:p>
        </w:tc>
      </w:tr>
    </w:tbl>
    <w:p>
      <w:pPr>
        <w:spacing w:after="0" w:line="166"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During the year ended December 31, 2022, operating activities used $8.3 million of cash primarily driven by our net loss of $10.7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offset by non-cash items of $2.4 million. During the year ended December 31, 2021, operating activities used $8.1 million of cash primarily driven by our net loss of $8.9 million offset by non-cash items of $0.8 million.</w:t>
      </w:r>
    </w:p>
    <w:p>
      <w:pPr>
        <w:spacing w:after="0" w:line="15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Investing Activities</w:t>
      </w:r>
      <w:r>
        <w:rPr>
          <w:rFonts w:ascii="Times New Roman" w:cs="Times New Roman" w:eastAsia="Times New Roman" w:hAnsi="Times New Roman"/>
          <w:sz w:val="17"/>
          <w:szCs w:val="17"/>
          <w:color w:val="auto"/>
        </w:rPr>
        <w:t>. During the year ended December 31, 2022, investing activities used $0.336 million of cash primarily driven by $0.308 million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trademark and patent costs and $0.028 million for the purchase of furniture and equipment. During the year ended December 31, 2021, investing activities used $0.652 million of cash primarily driven by $0.206 million of trademark and patent costs and $0.446 million for the purchase of furniture and equipment.</w:t>
      </w:r>
    </w:p>
    <w:p>
      <w:pPr>
        <w:spacing w:after="0" w:line="15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During the year ended December 31, 2022, financing activities provided $4.1 million in cash primarily driven by the issuance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$4.4 million convertible promissory note offset by $0.3 million of deferred offering costs. During the year ended December 31, 2021, financing activities provided $0.993 million in cash primarily driven by the issuance of a $1 million convertible promissory note.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This management’s discussion and analysis of our financial condition and results of operations is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prepaid/accrued research and development expenses, share-based compensation and fair value of convertible promissory notes.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Note 2 to our audited financial statements included elsewhere in this prospectus, we believe the following accounting policies are the most critical to the judgments and estimates used in the preparation of our financial statements.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Internal control over financial reporting is a process designed to provide reasonable assurance regarding the reliability of financial reporting and the preparation of financial statements in accordance with U.S.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1" w:name="page52"/>
    <w:bookmarkEnd w:id="51"/>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During the preparation of our financial statements for the years ended December 31, 2022 and 2021, we and our independent registered public accounting firm identified a material weakness as it relates to a lack of adequate segregation of accounting functions and the appropriate accounting for certain warrants in 2021 that were issued in connection with our previously issued but no longer outstanding debt instruments. We are in the process of implementing measures designed to improve our internal control over financial reporting and remediate this material weakness. We intend to increase staffing within our accounting infrastructure sufficient to facilitate proper segregation of accounting functions and to enable appropriate review of our internally prepared financial statements.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discussed in Note 2 to our audited financial statements included elsewhere in this registration statement, under Accounting Standards Codification, or ASC, 606, Revenue from Contracts with Customers, an entity recognizes revenue when its customer obtains control of promised goods or services, in an amount that reflects the consideration which the entity expects to receive in exchange for those goods or services.</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To determine the appropriate amount of revenue to be recognized for arrangements determined to be within the scope of ASC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the entity will collect consideration it is entitled to in exchange for the goods or services it transfers to the customer.</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When optional goods or services are offered, we assess the options to determine whether the options grant the customer a material right. This determination includes whether the option is priced at an amount that the customer would not have received without entering into the contract. If we conclude the option conveys a material right, it is accounted for as a separate performance obligation. In identifying performance obligations in a contract, we identify those promises that are distinct. Promised goods or services are considered distinct when the customer can benefit from the goods or services on their own, or together with readily available resources, and the goods or services are separately identifiable from other promises in the contract. If a promise is not distinct, it is combined with other promises in the contract until the combined group of promises is capable of being distinct.</w:t>
      </w:r>
    </w:p>
    <w:p>
      <w:pPr>
        <w:spacing w:after="0" w:line="17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If it is probable that a significant revenue reversal would not occur, the variable consideration is included in the transaction price. For contracts that include sales-based royalties for licensed compounds, we recognize revenue at the date when the related sales occur. Finally, we determine whether the contract contains a significant financing component by analyzing the promised consideration relative to the standalone selling price of the promised goods and services and the timing of payment relative to the transfer of the promised goods and services. At each reporting date, we reassess the transaction price and probability of achievement of the performance obligations and the associated constraints on transaction price. If necessary, we adjust the transaction price, recording a cumulative catch-up based on progress for the amount that was previously constrained.</w:t>
      </w:r>
    </w:p>
    <w:p>
      <w:pPr>
        <w:spacing w:after="0" w:line="176"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Revenue is recognized when (or as) control of a performance obligation is transferred to the customer. When combined performance obligations contain a promised license and related services or other promises, management judgment is required to determine the appropriate timing of revenue recognition. In doing so, we must identify the predominant promise or promises in the contract to determine whether revenue is recognized at a point in time or over time. If over time, we must determine the appropriate measure of progress. If a license is deemed to be the predominant promise in a performance obligation, we must determine the nature of the license, whether functional or symbolic intellectual property, to conclude whether point-in-time or over-time revenue recognition is most appropriate. The determination of functional or symbolic intellectual property requires an assessment of whether the customer is able to exploit and benefit from the license in its current condition, or if the utility of the license is dependent on or influenced by our ongoing activities or being associated with 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2" w:name="page53"/>
    <w:bookmarkEnd w:id="52"/>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each reporting date, we calculate the measure of progress for the performance obligations transferred over time. The calculation generally uses an input measure based on costs incurred to date relative to estimated total costs to complete the transfer of the performance obligation.</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in connection with the development of our product candidates. We expense research and development costs as incurred.</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accrue an expense for preclinical studies and clinical trial activities performed by our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make estimates of our prepaid/accrued expenses as of each balance sheet date in our financial statements based upon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measure compensation expense for all share-based awards based on the estimated fair value of the share-based awards on the grant date. We use the Black-Scholes option pricing model to value our share-based awards. We recognize compensation expense on a straight-line basis over the requisite service period, which is generally the vesting period of the award. We have not issued awards for which vesting is subject to market or performance conditions.</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Black-Scholes option-pricing model requires the use of subjective assumptions that include the expected stock price volatility and the fair value of the underlying common stock on the date of grant. See Note 10 to our audited financial statements included elsewhere in this prospectus for information concerning certain of the specific assumptions we used in applying the Black-Scholes option pricing model to determine the estimated fair value of our awards granted.</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Estimating the Fair Value of Common Stock</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required to estimate the fair value of the common stock underlying our share-based awards when performing the fair value calculations using the Black-Scholes option pricing model. Because our common stock is not currently publicly traded, the fair value of the common stock underlying our stock options has been approved on each grant date by our Board, with input from management.</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third-party valuations of our common stocks were performed using methodologies, approaches and assumptions consistent with the American Institute of Certified Public Accountants, Audit and Accounting Practice Aid Series: Valuation of Privately Held Company Equity Securities Issued as Compensation. In addition, our Board considered various objective and subjective factors to estimate the estimated fair value of our common stock, including:</w:t>
      </w:r>
    </w:p>
    <w:p>
      <w:pPr>
        <w:spacing w:after="0" w:line="167" w:lineRule="exact"/>
        <w:rPr>
          <w:sz w:val="20"/>
          <w:szCs w:val="20"/>
          <w:color w:val="auto"/>
        </w:rPr>
      </w:pPr>
    </w:p>
    <w:p>
      <w:pPr>
        <w:ind w:left="1220" w:hanging="605"/>
        <w:spacing w:after="0" w:line="261"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of our preferred stock sold to outside investors in arm’s length transactions, and the rights, preferences and privileges of our preferred stock as compared to those of our common stock, including the liquidation preferences of our preferred stock;</w:t>
      </w:r>
    </w:p>
    <w:p>
      <w:pPr>
        <w:ind w:left="1220" w:hanging="605"/>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value of each security both outstanding and anticipated;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3" w:name="page54"/>
    <w:bookmarkEnd w:id="53"/>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capital structure, which will directly impact the value of the currently outstanding securities;</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of operations and financial position;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status of our research and development efforts;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composition of, and changes to, our management team and board of directors;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liquidity of our common stock as a private company;</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 and business strategy and the material risks related to our business and industry;</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market conditions affecting the life sciences and biotechnology industry sectors;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and global economic conditions;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achieving a liquidity event for the holders of our common stock, such as IPO or a sale of our company, given prevailing market conditions; and</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value and volatility of comparable companies.</w:t>
      </w:r>
    </w:p>
    <w:p>
      <w:pPr>
        <w:spacing w:after="0" w:line="19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determining the estimated fair value of our common stock, our Board considered the subjective factors discussed above in conjunction with the most recent valuations of our common stock that were prepared by an independent third party. An independent valuation specialist was utilized by our Board when determining the estimated fair value of common stock for the awards granted from October 2017 through December 2021. Our Board, relying on these third-party valuations, approved valuations of our common stock of $3.39 per share as of October 2017, $6.58 per share as of April 2019, $12.09 per share as of September 2020 and $11.05 per share as of December 2021.</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Estimating the Fair Value of Warrants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utilize a Black-Scholes method to value our outstanding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We estimate the volatility of our common stock based on market participant assumptions and matches the volatility used to value our stock options. The risk-free interest rate is based on the U.S. Treasury zero-coupon yield curve on the grant date for a maturity similar to the expected remaining life of the warrants. The expected life of our outstanding warrants is assumed to be equivalent to their remaining contractual term. The dividend rate is based on the historical rate, which the Company anticipates to remain at zero.</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See Note 2 to our audited financial statements found elsewhere in this prospectus for a description of recent accounting pronouncements applicable to our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 like molecules. The platform also utilizes a licensed genetic engineering technology, which can enable the transformation of previously genetically intractable strains. Our initial focus is on the development of genetically engineered strains of </w:t>
      </w:r>
      <w:r>
        <w:rPr>
          <w:rFonts w:ascii="Times New Roman" w:cs="Times New Roman" w:eastAsia="Times New Roman" w:hAnsi="Times New Roman"/>
          <w:sz w:val="17"/>
          <w:szCs w:val="17"/>
          <w:i w:val="1"/>
          <w:iCs w:val="1"/>
          <w:color w:val="auto"/>
        </w:rPr>
        <w:t>Staphylococcus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epidermidis,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S. epidermidis, </w:t>
      </w:r>
      <w:r>
        <w:rPr>
          <w:rFonts w:ascii="Times New Roman" w:cs="Times New Roman" w:eastAsia="Times New Roman" w:hAnsi="Times New Roman"/>
          <w:sz w:val="17"/>
          <w:szCs w:val="17"/>
          <w:color w:val="auto"/>
        </w:rPr>
        <w:t>which we consider to be an optimal therapeutic candidate species for engineering of dermatologic therapies. The particular species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demonstrates a number of well-described properties in the skin. As of the date of this prospectus, we have identified, among our microbial library, over 60 distinct bacterial species that we believe are capable of being engineered to create living organisms or engineered proteins with significant therapeutic effect.</w:t>
      </w:r>
    </w:p>
    <w:p>
      <w:pPr>
        <w:spacing w:after="0" w:line="17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a pioneer in genetically engineering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product candidates, including:</w:t>
      </w:r>
    </w:p>
    <w:p>
      <w:pPr>
        <w:spacing w:after="0" w:line="163" w:lineRule="exact"/>
        <w:rPr>
          <w:sz w:val="20"/>
          <w:szCs w:val="20"/>
          <w:color w:val="auto"/>
        </w:rPr>
      </w:pPr>
    </w:p>
    <w:p>
      <w:pPr>
        <w:jc w:val="both"/>
        <w:ind w:left="620" w:hanging="312"/>
        <w:spacing w:after="0" w:line="256"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ATR-12</w:t>
      </w:r>
      <w:r>
        <w:rPr>
          <w:rFonts w:ascii="Times New Roman" w:cs="Times New Roman" w:eastAsia="Times New Roman" w:hAnsi="Times New Roman"/>
          <w:sz w:val="17"/>
          <w:szCs w:val="17"/>
          <w:color w:val="auto"/>
        </w:rPr>
        <w:t>, a genetically modified strain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treating the orphan disease, Netherton syndrome, a chronic and sometimes fatal disease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skin estimated to affect approximately one to nine in every 100,000, but its prevalence may be underestimated due to misdiagnosis caused by similarities to other skin diseases. We received Pediatric Rare Disease Designation for ATR-12 by the United States Food and Drug Administration, or FDA, in 2019. In‌ December 2022, we submitted an investigational new drug application, or IND, for a Phase 1b‌ clinical trial of ATR-12 in Netherton syndrome patients‌, and on January 27, 2023 we received notification from the FDA that the “study may proceed” with respect to the proposed Phase 1b clinical trial. We have commenced our Phase 1b‌ clinical trial and expect to enroll our first patient in the first quarter of 2024 and report initial safety results in the second half of 2024.</w:t>
      </w:r>
    </w:p>
    <w:p>
      <w:pPr>
        <w:spacing w:after="0" w:line="173" w:lineRule="exact"/>
        <w:rPr>
          <w:rFonts w:ascii="Times New Roman" w:cs="Times New Roman" w:eastAsia="Times New Roman" w:hAnsi="Times New Roman"/>
          <w:sz w:val="17"/>
          <w:szCs w:val="17"/>
          <w:color w:val="auto"/>
        </w:rPr>
      </w:pPr>
    </w:p>
    <w:p>
      <w:pPr>
        <w:jc w:val="both"/>
        <w:ind w:left="620" w:hanging="312"/>
        <w:spacing w:after="0" w:line="263"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ATR-04</w:t>
      </w:r>
      <w:r>
        <w:rPr>
          <w:rFonts w:ascii="Times New Roman" w:cs="Times New Roman" w:eastAsia="Times New Roman" w:hAnsi="Times New Roman"/>
          <w:sz w:val="17"/>
          <w:szCs w:val="17"/>
          <w:color w:val="auto"/>
        </w:rPr>
        <w:t>, a genetically modified strain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treating the papulopustular rash experienced by cancer patients undergoing epidermal growth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factor receptor inhibitor, or EGFRi, targeted therapy. We intend to submit an IND for a Phase 1b clinical trial in certain cancer patients undergoing EGFRi targeted therapy by the first half of 2024. Subject to FDA clearance of our IND, we expect to commence our Phase 1b clinical trial in the second half of 2024.</w:t>
      </w:r>
    </w:p>
    <w:p>
      <w:pPr>
        <w:spacing w:after="0" w:line="164" w:lineRule="exact"/>
        <w:rPr>
          <w:rFonts w:ascii="Times New Roman" w:cs="Times New Roman" w:eastAsia="Times New Roman" w:hAnsi="Times New Roman"/>
          <w:sz w:val="17"/>
          <w:szCs w:val="17"/>
          <w:color w:val="auto"/>
        </w:rPr>
      </w:pPr>
    </w:p>
    <w:p>
      <w:pPr>
        <w:jc w:val="both"/>
        <w:ind w:left="620" w:hanging="312"/>
        <w:spacing w:after="0" w:line="269"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ATR-01</w:t>
      </w:r>
      <w:r>
        <w:rPr>
          <w:rFonts w:ascii="Times New Roman" w:cs="Times New Roman" w:eastAsia="Times New Roman" w:hAnsi="Times New Roman"/>
          <w:sz w:val="17"/>
          <w:szCs w:val="17"/>
          <w:color w:val="auto"/>
        </w:rPr>
        <w:t>, an engineered recombinant human filaggrin protein for treating ichthyosis vulgaris, a chronic, xerotic (abnormally dry), scaly skin disease with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estimated incidence and prevalence of 1 in 250, which suggests a total patient population of 1.3 million in the United States. We are planning to complete lead optimization and IND-enabling studies in 2024 to support an IND filing target in mid-2025.</w:t>
      </w:r>
    </w:p>
    <w:p>
      <w:pPr>
        <w:spacing w:after="0" w:line="163" w:lineRule="exact"/>
        <w:rPr>
          <w:rFonts w:ascii="Times New Roman" w:cs="Times New Roman" w:eastAsia="Times New Roman" w:hAnsi="Times New Roman"/>
          <w:sz w:val="17"/>
          <w:szCs w:val="17"/>
          <w:color w:val="auto"/>
        </w:rPr>
      </w:pPr>
    </w:p>
    <w:p>
      <w:pPr>
        <w:jc w:val="both"/>
        <w:ind w:left="620" w:hanging="312"/>
        <w:spacing w:after="0" w:line="25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separate strains of bacterial microbes are being investigated and developed by us and Bayer Consumer Care AG, the consumer products division of Bayer AG, or Bayer, the international life science company. We entered into a Joint Development Agreement, or JDA, with Bayer in December 2019. Under the terms of the JDA, we are responsible for testing our library of bacterial strains and their natural products for key preclinical properties. After screening through hundreds of strains, we and Bayer have selected two particular strains to move forward into further development. Bayer holds the exclusive option to license the patent rights to these strains. In December 2020, Bayer purchased $8 million of our Series B preferred stock, which converted into 1,449,743 shares of our common stock, representing approximately 12.0% of our outstanding shares of common stock.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5" w:name="page56"/>
    <w:bookmarkEnd w:id="55"/>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also have established partnerships with teams from Carnegie Mellon University and the Fred Hutchinson Cancer Center, or Fred Hutch, two of the premier academic centers in the United States. Our collaboration with the Carnegie Mellon based team takes advantage of the power of whole genome sequencing. This partnership is mining our proprietary library of bacterial strains for novel, drug 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 like structures.</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hold an exclusive, worldwide license from Fred Hutch regarding the use of its patented SyMPL technologies for all fields of genetic engineering, including to discover, develop and commercialize engineered microbial therapies and microbial-derived peptides and proteins for skin diseases. We are utilizing our licensed patent rights to build plasmids that in order to make genetic transformations that have never been previously achieved. Our collaboration with Fred Hutch is led by Dr. Christopher Johnston, an expert in microbial engineering, and the innovator behind the SyMPL technology.</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Beyond our three lead product candidates and collaboration with Bayer, our goal is to develop a broad portfolio of product candidates focused on expanding the application of our platforms for precision dermatology. We believe that we have established a unique position in advancing the development of biologics for precision dermatology.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116205</wp:posOffset>
            </wp:positionV>
            <wp:extent cx="4862830" cy="25850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62830" cy="2585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Strategies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intend to create a broad portfolio of product candidates for precision dermatology through our development of genetically engineered proteins selected from our proprietary microbial library of approximately 1,500 unique bacterial strains. Our strategy is as follows:</w:t>
      </w:r>
    </w:p>
    <w:p>
      <w:pPr>
        <w:spacing w:after="0" w:line="149" w:lineRule="exact"/>
        <w:rPr>
          <w:sz w:val="20"/>
          <w:szCs w:val="20"/>
          <w:color w:val="auto"/>
        </w:rPr>
      </w:pPr>
    </w:p>
    <w:p>
      <w:pPr>
        <w:jc w:val="both"/>
        <w:ind w:left="920" w:hanging="305"/>
        <w:spacing w:after="0" w:line="263" w:lineRule="auto"/>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Build a sustainable precision dermatology company. </w:t>
      </w:r>
      <w:r>
        <w:rPr>
          <w:rFonts w:ascii="Times New Roman" w:cs="Times New Roman" w:eastAsia="Times New Roman" w:hAnsi="Times New Roman"/>
          <w:sz w:val="17"/>
          <w:szCs w:val="17"/>
          <w:color w:val="auto"/>
        </w:rPr>
        <w:t>Our goal is to build a leading precision dermatology company with a sustainable pipeline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 candidates. To that end, we are focused on rapidly advancing our current pipeline of live biotherapeutic candidates while actively developing additional product candidates. Each of our current product candidates are proprietary and subject to pending patent applications. We expect that most, if not all, genetically engineered product candidates we develop will be eligible for patent protection.</w:t>
      </w:r>
    </w:p>
    <w:p>
      <w:pPr>
        <w:spacing w:after="0" w:line="164" w:lineRule="exact"/>
        <w:rPr>
          <w:rFonts w:ascii="Times New Roman" w:cs="Times New Roman" w:eastAsia="Times New Roman" w:hAnsi="Times New Roman"/>
          <w:sz w:val="17"/>
          <w:szCs w:val="17"/>
          <w:color w:val="auto"/>
        </w:rPr>
      </w:pPr>
    </w:p>
    <w:p>
      <w:pPr>
        <w:jc w:val="both"/>
        <w:ind w:left="920" w:hanging="305"/>
        <w:spacing w:after="0" w:line="263" w:lineRule="auto"/>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 our lead product candidates, ATR-12 and ATR-04, through clinical trials. </w:t>
      </w:r>
      <w:r>
        <w:rPr>
          <w:rFonts w:ascii="Times New Roman" w:cs="Times New Roman" w:eastAsia="Times New Roman" w:hAnsi="Times New Roman"/>
          <w:sz w:val="17"/>
          <w:szCs w:val="17"/>
          <w:color w:val="auto"/>
        </w:rPr>
        <w:t>We expect to report initial safety results of our Phase 1b clinical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trial for our ATR-12 in Netherton syndrome patients in the second half of 2024 and are currently planning to commence a Phase 1b‌ trial of our ATR-04 in certain cancer patients undergoing EGFRi therapy in the second half of 2024. We have a cleared IND for ATR-12 and expect to file an IND for ATR-04 in the first half of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56" w:name="page57"/>
    <w:bookmarkEnd w:id="56"/>
    <w:p>
      <w:pPr>
        <w:jc w:val="both"/>
        <w:ind w:left="920" w:hanging="305"/>
        <w:spacing w:after="0" w:line="256" w:lineRule="auto"/>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Broaden our platform by selectively exploring strategic partnerships that maximize the potential of our precision dermatology programs. </w:t>
      </w:r>
      <w:r>
        <w:rPr>
          <w:rFonts w:ascii="Times New Roman" w:cs="Times New Roman" w:eastAsia="Times New Roman" w:hAnsi="Times New Roman"/>
          <w:sz w:val="17"/>
          <w:szCs w:val="17"/>
          <w:color w:val="auto"/>
        </w:rPr>
        <w:t>We intend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We may also broaden the reach of our platform by selectively in-licensing technologies or product candidates. In addition, we will consider potentially out-licensing certain of our proprietary technologies for indications and industries that we are not ourselves pursuing. We believe our genetic engineering techniques and technologies have applicability outside of the field of medicine, including cosmetics and in the generation of clean fuels and bioremediation.</w:t>
      </w:r>
    </w:p>
    <w:p>
      <w:pPr>
        <w:spacing w:after="0" w:line="174" w:lineRule="exact"/>
        <w:rPr>
          <w:rFonts w:ascii="Times New Roman" w:cs="Times New Roman" w:eastAsia="Times New Roman" w:hAnsi="Times New Roman"/>
          <w:sz w:val="17"/>
          <w:szCs w:val="17"/>
          <w:color w:val="auto"/>
        </w:rPr>
      </w:pPr>
    </w:p>
    <w:p>
      <w:pPr>
        <w:jc w:val="both"/>
        <w:ind w:left="920" w:hanging="305"/>
        <w:spacing w:after="0" w:line="255" w:lineRule="auto"/>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Leverage our academic partnerships. </w:t>
      </w:r>
      <w:r>
        <w:rPr>
          <w:rFonts w:ascii="Times New Roman" w:cs="Times New Roman" w:eastAsia="Times New Roman" w:hAnsi="Times New Roman"/>
          <w:sz w:val="17"/>
          <w:szCs w:val="17"/>
          <w:color w:val="auto"/>
        </w:rPr>
        <w:t>We currently have partnerships with investigators at the Fred Hutchinson Cancer Center, Yale University,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Jackson Laboratory for Genomic Medicine, and Carnegie Mellon University. We have an exclusive license from the Fred Hutchinson Cancer Center covering DNA technologies, which enable the genetic transformation of strains that have previously been genetically intractable. Our collaboration with investigators at Carnegie Mellon University builds on an artificial intelligence and machine learning technology to predict the drug like molecules made by the microbes in our library. We have an ongoing scientific advisory board contract with Dr. Julia Oh of the Jackson Laboratories and have historically worked with Jackson Laboratories through sponsored research agreements for mouse experiments. We expect to leverage these partnerships and potentially expand them or form other academic partnerships to bolster our engineering platforms and expand our research and development pipeline.</w:t>
      </w:r>
    </w:p>
    <w:p>
      <w:pPr>
        <w:spacing w:after="0" w:line="176" w:lineRule="exact"/>
        <w:rPr>
          <w:rFonts w:ascii="Times New Roman" w:cs="Times New Roman" w:eastAsia="Times New Roman" w:hAnsi="Times New Roman"/>
          <w:sz w:val="17"/>
          <w:szCs w:val="17"/>
          <w:color w:val="auto"/>
        </w:rPr>
      </w:pPr>
    </w:p>
    <w:p>
      <w:pPr>
        <w:jc w:val="both"/>
        <w:ind w:left="920" w:hanging="305"/>
        <w:spacing w:after="0" w:line="255" w:lineRule="auto"/>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Experienced management team and Board of Directors</w:t>
      </w:r>
      <w:r>
        <w:rPr>
          <w:rFonts w:ascii="Times New Roman" w:cs="Times New Roman" w:eastAsia="Times New Roman" w:hAnsi="Times New Roman"/>
          <w:sz w:val="17"/>
          <w:szCs w:val="17"/>
          <w:color w:val="auto"/>
        </w:rPr>
        <w:t>. We are led by Francisco D. Salva, our chief executive officer, and Travis Whitfill, our co-founder and chief operating officer, who have more than 35 years of combined experience in the management of biotechnology companies and healthcare investing. Mr. Salva was previously a co-founder of Acerta Pharma, which was sold to AstraZeneca for approximately $6.3 billion in a staged acquisition beginning in 2016. He also worked on the turnaround of Pharmacyclics, which subsequently sold to Abbvie for approximately $21 billion in 2015. Before that, Mr. Salva spent almost a decade in life sciences venture capital. Mr. Whitfill served as associate research scientist and currently serves as assistant professor adjunct at Yale University with appointments in the Departments of Pediatrics and Emergency Medicine. He spent nearly a decade in venture capital as a partner in a biotech-focused venture capital fund, Bios Partners. He has led numerous grant-funded projects, holds nearly a dozen patents and has co-authored over 60 publications. Our board of directors, or Board, is comprised of renowned group of senior executives, scientists and investors in the biotechnology industry</w:t>
      </w:r>
      <w:r>
        <w:rPr>
          <w:rFonts w:ascii="Times New Roman" w:cs="Times New Roman" w:eastAsia="Times New Roman" w:hAnsi="Times New Roman"/>
          <w:sz w:val="17"/>
          <w:szCs w:val="17"/>
          <w:b w:val="1"/>
          <w:bCs w:val="1"/>
          <w:i w:val="1"/>
          <w:iCs w:val="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Microbial Library and Microbial Drug Delivery Platform</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Commensal microorganisms reside on either the surface of the body or in the mucosa without harming human health. They act on the host’s immune system to induce protective responses that prevent colonization and invasion by infectious pathogens, and thereby play a crucial role in maintaining human health across a number of organ systems, particularly in the skin. Diverse communities of microorganisms populate the skin, and a square centimeter can contain up to a billion microorganisms. These diverse communities of bacteria, fungi, mites and viruses can provide protection against disease and form dynamic, yet distinct niches on the skin. Together, they make up the skin microbiome.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7" w:name="page58"/>
    <w:bookmarkEnd w:id="57"/>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 xml:space="preserve">Many genetically driven human diseases are systemically or partially related to the dysfunction of specific proteins that are missing or functionally inert due to a mutation. Since approximately 1982, the biopharmaceutical industry has been genetically engineering recombinant proteins in bacterial microorganisms for purposes providing therapies that mimic or support the body’s normally functioning proteins and peptides. For decades, the vast majority of genetic engineering has been limited to primary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 xml:space="preserve"> and a handful of other bacterial species, many of which can become pathogenic, inducing infection. In contrast, we have chosen to focus on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because of its beneficial effects as a commensal, naturally occurring microbe on the skin. Our goal is to leverage our platform and internal microbial library of over 60 bacterial species to engineer and deliver commensal skin bacteria directly to the target through the stratum corneum of the skin. At these deeper levels in the skin, engineered microbes can produce the missing or inert proteins and thereby resolve the underlying disease cause.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 epidermidis and Our Proprietary Microbial Library</w:t>
      </w:r>
    </w:p>
    <w:p>
      <w:pPr>
        <w:spacing w:after="0" w:line="21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 epidermidis </w:t>
      </w:r>
      <w:r>
        <w:rPr>
          <w:rFonts w:ascii="Times New Roman" w:cs="Times New Roman" w:eastAsia="Times New Roman" w:hAnsi="Times New Roman"/>
          <w:sz w:val="17"/>
          <w:szCs w:val="17"/>
          <w:color w:val="auto"/>
        </w:rPr>
        <w:t>is a strong therapeutic candidate species due to a number of well-described properties in the skin.</w:t>
      </w:r>
      <w:r>
        <w:rPr>
          <w:rFonts w:ascii="Times New Roman" w:cs="Times New Roman" w:eastAsia="Times New Roman" w:hAnsi="Times New Roman"/>
          <w:sz w:val="17"/>
          <w:szCs w:val="17"/>
          <w:i w:val="1"/>
          <w:iCs w:val="1"/>
          <w:color w:val="auto"/>
        </w:rPr>
        <w:t xml:space="preserve"> S. epidermidis </w:t>
      </w:r>
      <w:r>
        <w:rPr>
          <w:rFonts w:ascii="Times New Roman" w:cs="Times New Roman" w:eastAsia="Times New Roman" w:hAnsi="Times New Roman"/>
          <w:sz w:val="17"/>
          <w:szCs w:val="17"/>
          <w:color w:val="auto"/>
        </w:rPr>
        <w:t>is a gram-positive bacterium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that is ubiquitous in the human skin and mucosal flora. As one of the earliest colonizers of the skin,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plays an important role in cutaneous immunity and maintaining microbial community homeostasis.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is known to have a beneficial relationship with its host as a skin commensal. The species has shown inhibition of the pathogenic strain, </w:t>
      </w:r>
      <w:r>
        <w:rPr>
          <w:rFonts w:ascii="Times New Roman" w:cs="Times New Roman" w:eastAsia="Times New Roman" w:hAnsi="Times New Roman"/>
          <w:sz w:val="17"/>
          <w:szCs w:val="17"/>
          <w:i w:val="1"/>
          <w:iCs w:val="1"/>
          <w:color w:val="auto"/>
        </w:rPr>
        <w:t>Staphylococcus aureus, or S. aureus,</w:t>
      </w:r>
      <w:r>
        <w:rPr>
          <w:rFonts w:ascii="Times New Roman" w:cs="Times New Roman" w:eastAsia="Times New Roman" w:hAnsi="Times New Roman"/>
          <w:sz w:val="17"/>
          <w:szCs w:val="17"/>
          <w:color w:val="auto"/>
        </w:rPr>
        <w:t xml:space="preserve"> as well as the strain </w:t>
      </w:r>
      <w:r>
        <w:rPr>
          <w:rFonts w:ascii="Times New Roman" w:cs="Times New Roman" w:eastAsia="Times New Roman" w:hAnsi="Times New Roman"/>
          <w:sz w:val="17"/>
          <w:szCs w:val="17"/>
          <w:i w:val="1"/>
          <w:iCs w:val="1"/>
          <w:color w:val="auto"/>
        </w:rPr>
        <w:t>Propionibacterium acnes</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P. acnes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induces keratinocytes to produce antimicrobial peptides and produces non-inflammatory T cell accumulation of both CD4+ and CD8+ T cells via immune cell signaling. The T cell responses induce re-epithelization of the skin after injury, accelerating repair and wound closure. For these reasons, we believe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offers several advantages as a vector for topical delivery of therapeutic proteins.</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In their 2019 study, Stacy and Belkaid, world-leading experts in the skin microbiome, described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as “a ‘poster child’ of the skin microbiota to illustrate the remarkable diversity of functions a microbe can exert on skin physiology and health.” We believe that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has enormous strain diversity that can be exploited for therapeutic purposes. In the 2020 Oh Study, Julia Oh’s lab reported that 1,482 unique strains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were present on only five individuals. These strains had not only significant genetic diversity but also large phenotypic diversity. We believe this large inter-strain variation among </w:t>
      </w: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epidermidis </w:t>
      </w:r>
      <w:r>
        <w:rPr>
          <w:rFonts w:ascii="Times New Roman" w:cs="Times New Roman" w:eastAsia="Times New Roman" w:hAnsi="Times New Roman"/>
          <w:sz w:val="17"/>
          <w:szCs w:val="17"/>
          <w:color w:val="auto"/>
        </w:rPr>
        <w:t>can be exploited. To that end, we collected samples from healthy volunteers to develop and characterize our own strain library of</w:t>
      </w:r>
      <w:r>
        <w:rPr>
          <w:rFonts w:ascii="Times New Roman" w:cs="Times New Roman" w:eastAsia="Times New Roman" w:hAnsi="Times New Roman"/>
          <w:sz w:val="17"/>
          <w:szCs w:val="17"/>
          <w:i w:val="1"/>
          <w:iCs w:val="1"/>
          <w:color w:val="auto"/>
        </w:rPr>
        <w:t xml:space="preserve"> S. epidermidis </w:t>
      </w:r>
      <w:r>
        <w:rPr>
          <w:rFonts w:ascii="Times New Roman" w:cs="Times New Roman" w:eastAsia="Times New Roman" w:hAnsi="Times New Roman"/>
          <w:sz w:val="17"/>
          <w:szCs w:val="17"/>
          <w:color w:val="auto"/>
        </w:rPr>
        <w:t>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includes over 900 unique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strains with potential for therapeutic use. We have used this microbial library to screen against selected properties, including antimicrobial peptide secretion,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killing, antibiotic sensitivity, and other therapeutically relevant characteristics. We have also collected other species in our library that includes roughly 60 different skin commensal species that can also be screened for therapeutic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Figure 1. Representative Species in Azitra Microbial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147955</wp:posOffset>
            </wp:positionV>
            <wp:extent cx="5429885" cy="1936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29885" cy="193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8" w:name="page59"/>
    <w:bookmarkEnd w:id="58"/>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Predictive Analysis of Our Microbial Library</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The biopharmaceutical industry has seen success in identifying and isolating thousands of bacterial species. Yet only a relatively few such species, believed to be less than 20, have been engineered to produce proteins or peptides with therapeutic potential. We have partnered with Chemia Biosciences, Inc., a research and development group from Carnegie Mellon University. Through our collaboration with Chemia Biosciences, we are able to use their proprietary genomic and peptidomic artificial intelligence and machine learning system, NRPMiner, to develop and confirm natural product predictions of the proteins, peptides and small molecules that are generated by our proprietary bacterial library. These predictions are confirmed via tandem mass spectroscopy or nuclear magnetic resonance. The information is then fed back into the machine learning algorithm to refine the predictions. It can also be compared to existing 2D and 3D protein databases to look for structural homology of our products to existing protein and peptide drugs. We believe our collaboration with the Carnegie Mellon based team provides us with a scalable and modification tolerant way to accelerate therapeutic discoveries within our microbial library.</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 Delivery of our Microbially Produced Drugs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delivery of genetically engineered proteins to the subcutaneous target sites is hindered by the natural barrier and the defenses of the stratum corneum. This is the skin’s outermost layer, which acts as a barrier that prevents unwanted materials from entering the body. To address this challenge, we have developed a proprietary process capable of facilitating protein delivery in a manner that bypasses the normally impenetrable stratum corneum. The strategy utilizes the ability of particular microbes to infiltrate into the deeper layers of the skin. There, the genetically modified microbes act as miniature factories to produce a therapeutic protein or molecule where it is needed.</w:t>
      </w:r>
    </w:p>
    <w:p>
      <w:pPr>
        <w:spacing w:after="0" w:line="170"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Our protein delivery capability for treating skin conditions is based on engineering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and other microbes to secrete proteins for drug delivery into the skin. We believe any number of proteins can be engineered and encoded by our bacteria to be produced and delivered to the skin to treat a variety of skin conditions. We have also added key proprietary features in its platform to facilitate protein delivery. A key feature of this system is that it bypasses the normally impenetrable skin barrier, a problem of topical protein delivery. The skin barrier, composed of the stratum corneum, is sealed by enucleated keratinocytes and formed by numerous structural, physical, and biochemical properties. Other transdermal delivery challenges arise due to susceptibility of protein to enzymatic digestion by proteases and solubility and diffusion impediments due the hydrophobic surface and the layers of linked corneocytes comprising the stratum corneum. We address this issue by leveraging the natural homing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to layers below the stratum corneum. In preclinical studies, we have shown that </w:t>
      </w: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epidermidis </w:t>
      </w:r>
      <w:r>
        <w:rPr>
          <w:rFonts w:ascii="Times New Roman" w:cs="Times New Roman" w:eastAsia="Times New Roman" w:hAnsi="Times New Roman"/>
          <w:sz w:val="17"/>
          <w:szCs w:val="17"/>
          <w:color w:val="auto"/>
        </w:rPr>
        <w:t>homes to layers below the stratum corneum and delivers proteins into the deeper epidermis.</w:t>
      </w:r>
    </w:p>
    <w:p>
      <w:pPr>
        <w:spacing w:after="0" w:line="180"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To expand upon our recombinant protein construction capabilities, we have acquired an exclusive license to proprietary technology that disguises our genetically engineered DNA sequences to enable the production of proteins in previously intractable bacterial species. The technology from the Fred Hutchinson Cancer Center or Fred Hutch, expands the universe of bacterial species that can be genetically modified. It is based upon a restriction modification system-silent SyMPL toolset. The SyMPL technology platform makes human-made DNA invisible to the bacteria’s defenses. In theory, the method can be applied to any type of bacteria. Our current product candidates do not incorporate the SyMPL technology platform, but we expect that some or all of our future product candidates will do so.</w:t>
      </w:r>
    </w:p>
    <w:p>
      <w:pPr>
        <w:spacing w:after="0" w:line="17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Virtually all strains of naturally occurring bacteria have defense mechanisms called restriction modification systems. The four types of restriction modification systems recognize and defend against insertion of foreign DNA used to code recombinant proteins. Functional genetic engineering of S</w:t>
      </w:r>
      <w:r>
        <w:rPr>
          <w:rFonts w:ascii="Times New Roman" w:cs="Times New Roman" w:eastAsia="Times New Roman" w:hAnsi="Times New Roman"/>
          <w:sz w:val="17"/>
          <w:szCs w:val="17"/>
          <w:i w:val="1"/>
          <w:iCs w:val="1"/>
          <w:color w:val="auto"/>
        </w:rPr>
        <w:t>. epidermidis</w:t>
      </w:r>
      <w:r>
        <w:rPr>
          <w:rFonts w:ascii="Times New Roman" w:cs="Times New Roman" w:eastAsia="Times New Roman" w:hAnsi="Times New Roman"/>
          <w:sz w:val="17"/>
          <w:szCs w:val="17"/>
          <w:color w:val="auto"/>
        </w:rPr>
        <w:t xml:space="preserve"> (as well as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has previously been limited due to the presence of Type I and IV restriction systems in virtually all strains of these bacterial species. These restriction systems recognize methylated cytosine bases in DNA from standard clone expansion systems (such as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 xml:space="preserve"> and hinder incorporation of foreign DNA in the microbe.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was once believed to be an “untransformable” strain due to its genetic intractability. However, we have been able to overcome </w:t>
      </w: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epidermidis’ </w:t>
      </w:r>
      <w:r>
        <w:rPr>
          <w:rFonts w:ascii="Times New Roman" w:cs="Times New Roman" w:eastAsia="Times New Roman" w:hAnsi="Times New Roman"/>
          <w:sz w:val="17"/>
          <w:szCs w:val="17"/>
          <w:color w:val="auto"/>
        </w:rPr>
        <w:t>defenses.</w:t>
      </w:r>
    </w:p>
    <w:p>
      <w:pPr>
        <w:spacing w:after="0" w:line="17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 xml:space="preserve">Current genetic engineering processes add specific modifications to disguise human made DNA to trick the bacterium into thinking the intruder is a part of its own DNA. This approach often takes considerable time and resources to try to match the right disguise to each particular recognition motif. In contrast, Fred Hutch’s SyMPL technology platform is a systematic “stealth-by-engineering” approach to overcome restriction modification defense systems. These restriction modification defense systems protect microbes from foreign DNA and hinder the vast majority of genetic engineering approaches. The SyMPL technology platform is based on the ability to build minicircle DNA plasmids which lack any of the target recognition motifs for the microbe’s defense systems to identify. The technology uses the genome and methylome from a target bacteria’s genomic sequence to identify the restriction modification target motifs. They are then eliminated from the nucleotide sequence of the genetic tool </w:t>
      </w:r>
      <w:r>
        <w:rPr>
          <w:rFonts w:ascii="Times New Roman" w:cs="Times New Roman" w:eastAsia="Times New Roman" w:hAnsi="Times New Roman"/>
          <w:sz w:val="17"/>
          <w:szCs w:val="17"/>
          <w:i w:val="1"/>
          <w:iCs w:val="1"/>
          <w:color w:val="auto"/>
        </w:rPr>
        <w:t>in silico</w:t>
      </w:r>
      <w:r>
        <w:rPr>
          <w:rFonts w:ascii="Times New Roman" w:cs="Times New Roman" w:eastAsia="Times New Roman" w:hAnsi="Times New Roman"/>
          <w:sz w:val="17"/>
          <w:szCs w:val="17"/>
          <w:color w:val="auto"/>
        </w:rPr>
        <w:t>. The resulting sequence is used to build the restriction modification, SyMPL tools. These are propagated and then used for genetic transformations. Not only does the “stealth by engineering” approach enable transformations in genetically intractable bacterial strains, but it has also been shown to drastically increase transformational efficiency. Proof of principle experiments have shown improvements of over 10,000x in yields of genetically engineered colonies.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9" w:name="page60"/>
    <w:bookmarkEnd w:id="59"/>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January 2022, Fred Hutch granted us an exclusive worldwide, royalty bearing license to the patent rights, and a non-exclusive worldwide, royalty bearing license to the related know-how, for the SyMPL technology platform in all fields of use. For more information related to the intellectual property acquired pursuant to the Fred Hutch license agreement, see the section titled “</w:t>
      </w:r>
      <w:r>
        <w:rPr>
          <w:rFonts w:ascii="Times New Roman" w:cs="Times New Roman" w:eastAsia="Times New Roman" w:hAnsi="Times New Roman"/>
          <w:sz w:val="17"/>
          <w:szCs w:val="17"/>
          <w:i w:val="1"/>
          <w:iCs w:val="1"/>
          <w:color w:val="auto"/>
        </w:rPr>
        <w:t>Business-Licenses and Intellectual Property Rights</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 Candidates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ATR-12 for the treatment of Netherton syndrome</w:t>
      </w:r>
    </w:p>
    <w:p>
      <w:pPr>
        <w:spacing w:after="0" w:line="21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ATR-12 is our proprietary and patent-pending drug candidate that contains a novel strain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which has been genetically modified to express and secrete an active fragment of the full-length protein called the lympho-epithelial Kazal-type related inhibitor, or LEKTI. It has also been engineered to be auxotrophic, meaning that it requires the D-alanine nutrient in its formulation to survive and propagate. This provides an additional level of safety against potential systemic infection. ATR-12 is a topical application intended to address the underlying cause of Netherton syndrome, by replacing deficient LEKTI with an active segment of human recombinant LEKTI, or rhLEKTI-D6, to counter the dysregulated skin serine protease activity observed in Netherton syndrome patients. The uncontrolled serine protease activity leads to a profound skin barrier defect and the release of pro-inflammatory and pro-allergic mediators by keratinocytes and immune cells. As of the date of this prospectus, there is no known therapy for the cure or effective treatment of Netherton syndrome. We believe ATR-12 has the potential to be the first therapy to effectively treat this disease of the skin. Based on the Barbati and Sun Studies, we believe that ATR-12 represents a potential $250 million global sales opportunity by mid-2030.</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Netherton syndrome overview</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Netherton syndrome is a rare, autosomal recessive disease estimated to affect approximately one in every 200,000, but its prevalence may be underestimated due to misdiagnosis. It is a chronic disease of the skin, characterized by severe inflammation, pruritus, scaling, red, and dehydrated skin. Infants born with Netherton syndrome may suffer from a failure to thrive, and it has been reported that approximately one in ten infants with Netherton syndrome die in their first year of life. Those that survive face a lifetime of skin disease challenges including red, scaly skin, hair defects and an ongoing higher than normal risk for infection and allergy.</w:t>
      </w:r>
    </w:p>
    <w:p>
      <w:pPr>
        <w:spacing w:after="0" w:line="170"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 xml:space="preserve">Netherton syndrome is caused by mutations in the </w:t>
      </w:r>
      <w:r>
        <w:rPr>
          <w:rFonts w:ascii="Times New Roman" w:cs="Times New Roman" w:eastAsia="Times New Roman" w:hAnsi="Times New Roman"/>
          <w:sz w:val="17"/>
          <w:szCs w:val="17"/>
          <w:i w:val="1"/>
          <w:iCs w:val="1"/>
          <w:color w:val="auto"/>
        </w:rPr>
        <w:t>SPINK5</w:t>
      </w:r>
      <w:r>
        <w:rPr>
          <w:rFonts w:ascii="Times New Roman" w:cs="Times New Roman" w:eastAsia="Times New Roman" w:hAnsi="Times New Roman"/>
          <w:sz w:val="17"/>
          <w:szCs w:val="17"/>
          <w:color w:val="auto"/>
        </w:rPr>
        <w:t xml:space="preserve"> gene, which codes for the serine protease inhibitor Lympho-epithelial Kazal-type related inhibitor, or LEKTI. The function of LEKTI is to inhibit enzymes in the epidermis, such as kallikreins 5, 7 and 14, or KLK5, KLK7 and KLK14, which facilitate the shedding of skin cells in a process known as desquamation. When LEKTI is absent or has reduced activity, excess shedding results and the skin is sensitive, open, and appears red and scaly. This is accompanied by the detachment of the stratum corneum, leading to severe barrier dysfunction, dehydration and potential exposure to environmental agents, such as chemicals. Histopathology and immunofluorescence staining of skin from a Netherton syndrome patient compared to healthy volunteer reveal an absence of LEKTI and abnormalities in the skin such hyperkeratosis, epidermal thickening, and reduction of the basophilic keratohyalin granules.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949960</wp:posOffset>
            </wp:positionH>
            <wp:positionV relativeFrom="page">
              <wp:posOffset>413385</wp:posOffset>
            </wp:positionV>
            <wp:extent cx="5648325" cy="257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648325" cy="257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Figure 2: Netherton syndrome pathophysiology and LETKI deficiency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Netherton syndrome can range in severity from mild, such as red patchy areas of the skin, to life threatening. The degree of severity of the disease correlates directly with the extent of loss of function of LEKTI on the skin. Netherton syndrome appears shortly after birth and is most severe in the first year of an infant’s life. Survival beyond the first year is common in most cases, but the implications of the disease are a lifelong challenge.</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of the date of this prospectus, there is no known cure for Netherton syndrome and treatment options are limited. Dermatologic interventions to treat the severe skin manifestations of Netherton syndrome include moisturizers, topical corticosteroids, and calcineurin inhibitors, all of which are limited in that they do not provide sustained remediation. Given the severity of disease during neonatal stages, fluid/electrolyte and diet support are needed in addition to treating infections that often arise in these patients. While immunoglobulin therapy to address immunodeficiencies associated with Netherton syndrome has shown limited success, a sustained remediation of skin barrier defects, induced by dysregulation of LEKTI, is currently unavailable.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Our solution – ATR-12 for the treatment of Netherton syndrome</w:t>
      </w:r>
    </w:p>
    <w:p>
      <w:pPr>
        <w:spacing w:after="0" w:line="21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 xml:space="preserve">ATR-12 is a topical ointment containing an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 SE351, that has been genetically modified to express LEKTI from the chromosome. The SE351 strain has also been engineered to be auxotrophic for D-alanine, which means it cannot survive without the exogenous D-alanine nutrient provided in the formulation. ATR-12 is intended to address the underlying cause of Netherton syndrome by replacing deficient/dysfunctional LEKTI with an active, recombinant, human fragment of the full-length protein, rhLEKTI-D6. The treatment consists of applying ATR-12 to affected areas. rhLEKTI-D6 produced by SE351 will counter the dysregulated skin serine protease activity observed in Netherton syndrome patients, to restore skin barrier function and reduce inflammation. We believe that among the important advantages of this approach is the potential to deliver rhLEKTI-D6 over time into the lower layers of the stratum corneum and epidermis, the primary sites of dysregulation in patients with Netherton syndrome.</w:t>
      </w:r>
    </w:p>
    <w:p>
      <w:pPr>
        <w:spacing w:after="0" w:line="174"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 selected to deliver rhLEKTI-D6 to the skin, SE351, was selected from our proprietary strain collection. This strain is characterized by low virulence and is a non-biofilm forming host strain. To further enhance the safety of ATR-12, we have engineered the microbe for D-alanine to be auxotrophic. The key advantage to engineering auxotrophy is the ability to control growth and halt potential infection. Full length human LETKI, a 15-domain protein (145 kDa), is too large for reliable bacterial expression and secretion. Given evidence that fragments of the full-length protein are sufficient to counter the dysregulated skin serine protease activity observed in Netherton syndrome patients, we selected D6 for recombinant expression in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May 2020, we received Rare Pediatric Disease Designation from the FDA for ATR-12. As a result, if we are able to obtain approval for ATR-12 from the FDA in pediatrics, we will be eligible to receive a Priority Review Voucher, which can be used by us to obtain FDA review of a New Drug Application or Biologics License Application for this or another drug candidate in an expedited period of six months. These vouchers are often transferable, and some have been sold for over $100 million.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Preclinical data for ATR-12</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As of the date of this prospectus, we have conducted several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experiments that collectively support the potential efficacy of ATR-12 as a disease modifying therapy for patients with Netherton syndrome. The genetically engineered strain of S. epidermidis used in the formulated ATR-12 drug product is called SE351. In 2021, we conducted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studies to assess the ability of exogenously applied SE351 to colonize sterile reconstructed human epidermis. SE351 successfully colonized the reconstructed human epidermis and, furthermore, no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colonization occurred without D-alanine present, confirming that D-alanine must be supplied for SE351 growth on skin. These data suggest that SE351 is capable of colonizing human skin, and that colonization can be controlled with D-alanine supplementation.</w:t>
      </w:r>
    </w:p>
    <w:p>
      <w:pPr>
        <w:spacing w:after="0" w:line="16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Additionally,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studies using tape stripped skin from healthy volunteers spiked with KLK5 to mimic Netherton syndrome showed that diluted SE351 culture supernatant dose-dependently inhibited trypsin-like activity (KLK5 activity). Trypsin-like activity in the Netherton syndrome surrogates returned to normal healthy levels when a solution containing ≥0.5% of the SE351 culture supernatant was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114300</wp:posOffset>
            </wp:positionV>
            <wp:extent cx="5648325" cy="1783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32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Figure 3: </w:t>
      </w:r>
      <w:r>
        <w:rPr>
          <w:rFonts w:ascii="Times New Roman" w:cs="Times New Roman" w:eastAsia="Times New Roman" w:hAnsi="Times New Roman"/>
          <w:sz w:val="17"/>
          <w:szCs w:val="17"/>
          <w:b w:val="1"/>
          <w:bCs w:val="1"/>
          <w:i w:val="1"/>
          <w:iCs w:val="1"/>
          <w:color w:val="auto"/>
        </w:rPr>
        <w:t>In Vitro</w:t>
      </w:r>
      <w:r>
        <w:rPr>
          <w:rFonts w:ascii="Times New Roman" w:cs="Times New Roman" w:eastAsia="Times New Roman" w:hAnsi="Times New Roman"/>
          <w:sz w:val="17"/>
          <w:szCs w:val="17"/>
          <w:b w:val="1"/>
          <w:bCs w:val="1"/>
          <w:color w:val="auto"/>
        </w:rPr>
        <w:t xml:space="preserve"> Netherton Syndrome Model Using Human Skin Tape Strip Extracts Supplemented with Disease Level KLK5 Activity</w:t>
      </w:r>
    </w:p>
    <w:p>
      <w:pPr>
        <w:spacing w:after="0" w:line="213" w:lineRule="exact"/>
        <w:rPr>
          <w:sz w:val="20"/>
          <w:szCs w:val="20"/>
          <w:color w:val="auto"/>
        </w:rPr>
      </w:pPr>
    </w:p>
    <w:p>
      <w:pPr>
        <w:jc w:val="both"/>
        <w:ind w:firstLine="613"/>
        <w:spacing w:after="0" w:line="231" w:lineRule="auto"/>
        <w:rPr>
          <w:sz w:val="20"/>
          <w:szCs w:val="20"/>
          <w:color w:val="auto"/>
        </w:rPr>
      </w:pPr>
      <w:r>
        <w:rPr>
          <w:rFonts w:ascii="Times New Roman" w:cs="Times New Roman" w:eastAsia="Times New Roman" w:hAnsi="Times New Roman"/>
          <w:sz w:val="17"/>
          <w:szCs w:val="17"/>
          <w:color w:val="auto"/>
        </w:rPr>
        <w:t xml:space="preserve">In addition, results from an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pig skin model demonstrate that a single topical dose of ATR-12 at 3 dose levels led to secretion of active rhLEKTI-D6. Finally, data from an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healthy human skin model demonstrate that a single topical dose of ATR-12 administered at the maximum intended dose of 10</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CFU/g delivers enough active rhLEKTI-D6 into the lower layers of the stratum corneum to effectively inhibit the protease, kallikrein 5 (“KLK5”), at levels typically observed in patients with Netherton syndrome.</w:t>
      </w:r>
    </w:p>
    <w:p>
      <w:pPr>
        <w:spacing w:after="0" w:line="185" w:lineRule="exact"/>
        <w:rPr>
          <w:sz w:val="20"/>
          <w:szCs w:val="20"/>
          <w:color w:val="auto"/>
        </w:rPr>
      </w:pPr>
    </w:p>
    <w:p>
      <w:pPr>
        <w:jc w:val="both"/>
        <w:ind w:firstLine="613"/>
        <w:spacing w:after="0" w:line="239" w:lineRule="auto"/>
        <w:rPr>
          <w:sz w:val="20"/>
          <w:szCs w:val="20"/>
          <w:color w:val="auto"/>
        </w:rPr>
      </w:pPr>
      <w:r>
        <w:rPr>
          <w:rFonts w:ascii="Times New Roman" w:cs="Times New Roman" w:eastAsia="Times New Roman" w:hAnsi="Times New Roman"/>
          <w:sz w:val="17"/>
          <w:szCs w:val="17"/>
          <w:color w:val="auto"/>
        </w:rPr>
        <w:t xml:space="preserve">In particular, data from an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healthy human skin model demonstrate that a single topical dose of ATR-12 administered at the maximum intended dose of 10</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Colony Forming Units per gram (CFU/g) delivers enough active rhLEKTI-D6 into the lower layers of the stratum corneum to effectively inhibit KLK5 at levels typically observed in patients with Netherton syndrome. Amounts of LEKTI activity in layers extracted were from tape strip samples from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human skin treated with placebo and ATR-12. The collection proceeded right after skin application (T = 0 hours, white bars) or after 8 hours incubation at 30°C (T = 8 hours, black bars). Total LEKTI activity levels were obtained by adding the pmol amounts through layers 1 to 30 of placebo (grey bars) or ATR-12 (black bars) samples. Data are the average ± a standard deviation (SD) of 3 independent samples (N = 3). Statistical analysis was carried out using two-way ANOVA, and ** represents p &lt;0.01.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1242060</wp:posOffset>
            </wp:positionH>
            <wp:positionV relativeFrom="page">
              <wp:posOffset>412750</wp:posOffset>
            </wp:positionV>
            <wp:extent cx="5065395" cy="16211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065395" cy="162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Figure 4: LETKI activity in Placebo and ATR-12-Treated Skin Samples Following 0- and 8-hour Incubation</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addition, a single therapeutic dose of ATR-12 over 24-hour incubation yielded ~2-fold higher LEKTI activity compared to 8-hour incubation. This indicates continuous production of functional rhLEKTI-D6 by ATR-12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107950</wp:posOffset>
            </wp:positionV>
            <wp:extent cx="5065395" cy="15963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6539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Figure 5: LETKI activity in Placebo and ATR-12-Treated Skin Samples Following 24-hour Incubation</w:t>
      </w:r>
    </w:p>
    <w:p>
      <w:pPr>
        <w:spacing w:after="0" w:line="213" w:lineRule="exact"/>
        <w:rPr>
          <w:sz w:val="20"/>
          <w:szCs w:val="20"/>
          <w:color w:val="auto"/>
        </w:rPr>
      </w:pPr>
    </w:p>
    <w:p>
      <w:pPr>
        <w:jc w:val="both"/>
        <w:ind w:firstLine="613"/>
        <w:spacing w:after="0" w:line="224" w:lineRule="auto"/>
        <w:rPr>
          <w:sz w:val="20"/>
          <w:szCs w:val="20"/>
          <w:color w:val="auto"/>
        </w:rPr>
      </w:pPr>
      <w:r>
        <w:rPr>
          <w:rFonts w:ascii="Times New Roman" w:cs="Times New Roman" w:eastAsia="Times New Roman" w:hAnsi="Times New Roman"/>
          <w:sz w:val="17"/>
          <w:szCs w:val="17"/>
          <w:i w:val="1"/>
          <w:iCs w:val="1"/>
          <w:color w:val="auto"/>
        </w:rPr>
        <w:t xml:space="preserve">In vitro </w:t>
      </w:r>
      <w:r>
        <w:rPr>
          <w:rFonts w:ascii="Times New Roman" w:cs="Times New Roman" w:eastAsia="Times New Roman" w:hAnsi="Times New Roman"/>
          <w:sz w:val="17"/>
          <w:szCs w:val="17"/>
          <w:color w:val="auto"/>
        </w:rPr>
        <w:t>stoichiometry work performed by Azitra indicates that KLK5 requires 2 molar equivalents on the rhLEKTI-D6 protein for inhibition (as measured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IC</w:t>
      </w:r>
      <w:r>
        <w:rPr>
          <w:rFonts w:ascii="Times New Roman" w:cs="Times New Roman" w:eastAsia="Times New Roman" w:hAnsi="Times New Roman"/>
          <w:sz w:val="28"/>
          <w:szCs w:val="28"/>
          <w:color w:val="auto"/>
          <w:vertAlign w:val="subscript"/>
        </w:rPr>
        <w:t>50</w:t>
      </w:r>
      <w:r>
        <w:rPr>
          <w:rFonts w:ascii="Times New Roman" w:cs="Times New Roman" w:eastAsia="Times New Roman" w:hAnsi="Times New Roman"/>
          <w:sz w:val="17"/>
          <w:szCs w:val="17"/>
          <w:color w:val="auto"/>
        </w:rPr>
        <w:t>). Historical studies have indicated that Netherton syndrome patients to show up to ~6 fold the amount of KLK5 that the amounts found in normal skin. This equates to 60 pmol of KLK5 per given area. The studies shown above indicate that SE351 delivered 350 pmol of rhLEKTI-D6 at 8 hours and it delivered 700 pmol of rhLEKTI-D6 at 24 hours. This represents a 5- to 11-fold amount above the predicted amount required for activity.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2644140</wp:posOffset>
            </wp:positionH>
            <wp:positionV relativeFrom="page">
              <wp:posOffset>413385</wp:posOffset>
            </wp:positionV>
            <wp:extent cx="2261235" cy="1701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2261235" cy="170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Figure 6: </w:t>
      </w:r>
      <w:r>
        <w:rPr>
          <w:rFonts w:ascii="Times New Roman" w:cs="Times New Roman" w:eastAsia="Times New Roman" w:hAnsi="Times New Roman"/>
          <w:sz w:val="17"/>
          <w:szCs w:val="17"/>
          <w:b w:val="1"/>
          <w:bCs w:val="1"/>
          <w:i w:val="1"/>
          <w:iCs w:val="1"/>
          <w:color w:val="auto"/>
        </w:rPr>
        <w:t>In vitro</w:t>
      </w:r>
      <w:r>
        <w:rPr>
          <w:rFonts w:ascii="Times New Roman" w:cs="Times New Roman" w:eastAsia="Times New Roman" w:hAnsi="Times New Roman"/>
          <w:sz w:val="17"/>
          <w:szCs w:val="17"/>
          <w:b w:val="1"/>
          <w:bCs w:val="1"/>
          <w:color w:val="auto"/>
        </w:rPr>
        <w:t xml:space="preserve"> stoichiometry of LEKTI-D6 to inhibit KLK5</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2022, we obtained pre-IND correspondence with the FDA for purposes of discussing our proposed regulatory pathway for ATR-12 and obtaining guidance from the FDA on the preclinical plan leading to the filing and acceptance of an IND application for ATR-12. In December 2022, we filed an IND for a first-in-human trial of ATR-12 in Netherton syndrome patients. Our IND proposes a Phase 1b multi-center, randomized, double-blind, single dose level, placebo-controlled clinical study of ATR-12 in patients with Netherton syndrome. The primary endpoint is safety and secondary endpoints will include signals of efficacy and pharmacokinetics. Exploratory endpoints include immune and inflammatory mechanism biomarkers. On January 27, 2023, we received notification from the FDA that the “study may proceed” with respect to the proposed Phase 1b clinical trial with initial safety results expected in the second half of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ATR-04 for the Treatment of EGFRi-Associated Rash</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ATR-04 is our proprietary and patent-pending drug candidate that contains a novel strain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SE484, which has been genetically modified to be auxotrophic tor D-alanine. ATR-04 is a topical application intended to address the papulopustular rash experienced by cancer patients undergoing epidermal growth factor receptor inhibitor, or EGFRi, targeted therapy. We believe this product candidate represents a potential $1 billion global sales opportunity by 2030.</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EGFRi-Associated Rash Overview</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Targeted cancer therapies have produced significant treatment advances for patients diagnosed with a variety of tumor types, but they are also associated with unique dermatologic toxicities that may hamper treatment efforts and cause significant physical and psychological discomfort for patients. Prevention and management of these toxicities may allow patients to tolerate treatments better, remain on therapy longer and thereby potentially receive maximum clinical benefit from the drug. One such class of targeted cancer therapy includes EGFR inhibitors. EGFR is a protein on the surface of cells that helps them grow and divide. It is also a key factor in certain malignancies, and its activity enhances tumor growth, invasion, and metastasis. While systemic exposure to EGFRi agents suppresses EGFR at the target cancer site, it also suppresses EGFR throughout the body. In the skin, EGFR regulates multiple keratinocyte functions including proliferation, adhesion and migration, survival, and differentiation. Consequently, inhibition of EGFR in the skin results in adverse skin reactions, which make it difficult for patients to stay on these effective therapies.</w:t>
      </w:r>
    </w:p>
    <w:p>
      <w:pPr>
        <w:spacing w:after="0" w:line="176"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Dermatologic toxicities are amongst the most prevalent side effects seen with EGFRi-targeted therapies. The papulopustular rash is the earliest and most common dermatologic adverse event of EGFRi treatment, often occurring in 50-80% of patients, depending on the drug, the cancer being treated, and the treatment regimen. The appearance of the papulopustular rash is a dose-dependent skin drug reaction, which usually develops in the first one to two weeks and peaks at three to four weeks on therapy. The intensity of the rash may start to decrease after two weeks but can persists over the entire course of EGFRi treatment. The rash is characterized clinically as tender erythematous papules, which after a few days evolve into pustules and then into crusts on the face, scalp, chest, and upper back. The rash is often accompanied by severe xerosis and at times serious cutaneous bacterial infection, primarily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While most skin rash episodes are considered mild to moderate, some are severe. In many cases the rash leads to severe quality of life issues and can even lead to the interruption or cessation of the EGFRi treatment</w:t>
      </w:r>
      <w:r>
        <w:rPr>
          <w:rFonts w:ascii="Times New Roman" w:cs="Times New Roman" w:eastAsia="Times New Roman" w:hAnsi="Times New Roman"/>
          <w:sz w:val="17"/>
          <w:szCs w:val="17"/>
          <w:i w:val="1"/>
          <w:iCs w:val="1"/>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current standard of care for rash treatment in patients undergoing EGFRi treatment varies depending on the rash severity. Typically, skin moisturizers, topical steroids and doxycycline are administered prophylactically from the start of EGFRi therapy and are continued throughout the entire treatment period. If the rash continues to advance, oral steroids and/or antibiotics are administered. However, there are known systemic adverse events associated with these adjunctive therapies, and we believe that physicians and patients try to limit their use. In addition, research indicates that oral antibiotics lead to a disruption in the gut microbiome, which in turn leads to a decrease in the effectiveness of targeted therapies, including EGFRi. Given the high incidence rate of rash that continues with these patients, as well as the concerns related to potential impacts of antibiotics on these therapies, we believe there is a clear unmet medical need for additional safe and effective adjunctive therapies for addressing papulopustular skin rash.</w:t>
      </w:r>
    </w:p>
    <w:p>
      <w:pPr>
        <w:spacing w:after="0" w:line="170"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Based on studies conducted by Satoh and Lichtenberger, the cytokine, Interleukin-36 gamma, or IL-36γ, and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are linked to and play a significant role in the rashes experienced by patients treated with EGFRis. IL-36γ, is elevated in the skin of patients undergoing EGFRi therapy. In 2020, Satoh used gene expression profiling to identify IL-36γ as a candidate driver of EGFRi/MEKi skin toxicity. It is induced by EGFR inhibition and </w:t>
      </w:r>
      <w:r>
        <w:rPr>
          <w:rFonts w:ascii="Times New Roman" w:cs="Times New Roman" w:eastAsia="Times New Roman" w:hAnsi="Times New Roman"/>
          <w:sz w:val="17"/>
          <w:szCs w:val="17"/>
          <w:i w:val="1"/>
          <w:iCs w:val="1"/>
          <w:color w:val="auto"/>
        </w:rPr>
        <w:t>Cutibacterium acnes</w:t>
      </w:r>
      <w:r>
        <w:rPr>
          <w:rFonts w:ascii="Times New Roman" w:cs="Times New Roman" w:eastAsia="Times New Roman" w:hAnsi="Times New Roman"/>
          <w:sz w:val="17"/>
          <w:szCs w:val="17"/>
          <w:color w:val="auto"/>
        </w:rPr>
        <w:t xml:space="preserve"> that synergistically induce IL-36γ in the skin and subsequently IL-8 and NF-κB, which leads to cutaneous neutrophilia. IL-36γ could be a key therapeutic target in treating EGFRi-induced rashes. In 2013, Lichtenberger noted high rates (70%) of bacterial infection in patients (n=107) on EGFRi and proposed a mechanism of EGFR ablation leading to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induced infection in mice. The study noted a majority of the patients were positive with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(54%). Mechanistically, the authors noted that EGFRi therapy impairs host defense: impaired expression of antimicrobial peptides, especially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and lowered expression of tight junctions. Also, the study revealed EGFR ablation leads to skin barrier defects as well as impaired cutaneous immune response and cytokine expression.</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Our solution – ATR-04 for the treatment of EGFRi-associated rash</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ATR-04 is our formulated, drug product candidate for the treatment of EGFRi associated rash. It includes a novel auxotrophic strain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 that was selected from our microbial strain library, based on desired properties of IL-36γ reduction and inhibition of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and its biofilms. The current lead strain is called SE484. We then genetically engineered SE484 to be auxotrophic tor D-alanine and to create our drug product candidate, ATR-04.</w:t>
      </w:r>
    </w:p>
    <w:p>
      <w:pPr>
        <w:spacing w:after="0" w:line="159"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color w:val="auto"/>
        </w:rPr>
        <w:t xml:space="preserve">SE484 was chosen from our microbial library based on key characteristics such as inhibition of IL-36γ as well as its effect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Together, we expect these mechanisms of action to lead to significant reductions in rash severity among patients undergoing EGFRi therapy.</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ATR-04 has the potential to address current limitations to treatment of EGFRi-associated rash:</w:t>
      </w:r>
    </w:p>
    <w:p>
      <w:pPr>
        <w:spacing w:after="0" w:line="209" w:lineRule="exact"/>
        <w:rPr>
          <w:sz w:val="20"/>
          <w:szCs w:val="20"/>
          <w:color w:val="auto"/>
        </w:rPr>
      </w:pPr>
    </w:p>
    <w:p>
      <w:pPr>
        <w:jc w:val="both"/>
        <w:ind w:left="920" w:hanging="305"/>
        <w:spacing w:after="0" w:line="269" w:lineRule="auto"/>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Reduced antibiotic use. </w:t>
      </w:r>
      <w:r>
        <w:rPr>
          <w:rFonts w:ascii="Times New Roman" w:cs="Times New Roman" w:eastAsia="Times New Roman" w:hAnsi="Times New Roman"/>
          <w:sz w:val="17"/>
          <w:szCs w:val="17"/>
          <w:color w:val="auto"/>
        </w:rPr>
        <w:t>From our surveys of clinicians and key opinion leaders, practitioners are reluctant to prescribe systemic antibiotics to patients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undergoing EGFRi therapy. These patients can often be prescribed antibiotics for more than 12 months and suffer from antibiotic-related adverse events. We believe ATR-04 would reduce the need for antibiotics in these patients and lead to fewer adverse events due to EGFRi and antibiotic use.</w:t>
      </w:r>
    </w:p>
    <w:p>
      <w:pPr>
        <w:spacing w:after="0" w:line="159" w:lineRule="exact"/>
        <w:rPr>
          <w:rFonts w:ascii="Times New Roman" w:cs="Times New Roman" w:eastAsia="Times New Roman" w:hAnsi="Times New Roman"/>
          <w:sz w:val="17"/>
          <w:szCs w:val="17"/>
          <w:color w:val="auto"/>
        </w:rPr>
      </w:pPr>
    </w:p>
    <w:p>
      <w:pPr>
        <w:ind w:left="920" w:hanging="305"/>
        <w:spacing w:after="0" w:line="287" w:lineRule="auto"/>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Better EGFRi compliance. </w:t>
      </w:r>
      <w:r>
        <w:rPr>
          <w:rFonts w:ascii="Times New Roman" w:cs="Times New Roman" w:eastAsia="Times New Roman" w:hAnsi="Times New Roman"/>
          <w:sz w:val="17"/>
          <w:szCs w:val="17"/>
          <w:color w:val="auto"/>
        </w:rPr>
        <w:t>Up to 20% of patients undergoing EGFRi therapy discontinue due to adverse events, primarily due to rashes. We believe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can reduce discontinuation rate in patients undergoing EGFRi therapy and thus increase compliance.</w:t>
      </w:r>
    </w:p>
    <w:p>
      <w:pPr>
        <w:spacing w:after="0" w:line="145" w:lineRule="exact"/>
        <w:rPr>
          <w:rFonts w:ascii="Times New Roman" w:cs="Times New Roman" w:eastAsia="Times New Roman" w:hAnsi="Times New Roman"/>
          <w:sz w:val="17"/>
          <w:szCs w:val="17"/>
          <w:color w:val="auto"/>
        </w:rPr>
      </w:pPr>
    </w:p>
    <w:p>
      <w:pPr>
        <w:jc w:val="both"/>
        <w:ind w:left="920" w:hanging="305"/>
        <w:spacing w:after="0" w:line="269" w:lineRule="auto"/>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Higher quality of life. </w:t>
      </w:r>
      <w:r>
        <w:rPr>
          <w:rFonts w:ascii="Times New Roman" w:cs="Times New Roman" w:eastAsia="Times New Roman" w:hAnsi="Times New Roman"/>
          <w:sz w:val="17"/>
          <w:szCs w:val="17"/>
          <w:color w:val="auto"/>
        </w:rPr>
        <w:t>Many patients on EGFRi therapy report a poor quality of life due to adverse events and papulopustular rashes. Current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treatment options fail to adequately reduce these adverse events. We believe ATR-04 therapy in patients undergoing EGFRi therapy will have reduced rash severity and thus a higher quality of life.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color w:val="auto"/>
        </w:rPr>
        <w:t>Preclinical data of ATR-04</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We screened over 100 strains based on safety (e.g., lack of antibiotic resistance) and biological activity (e.g., IL-36γ inhibition and activity versus </w:t>
      </w: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aureus</w:t>
      </w:r>
      <w:r>
        <w:rPr>
          <w:rFonts w:ascii="Times New Roman" w:cs="Times New Roman" w:eastAsia="Times New Roman" w:hAnsi="Times New Roman"/>
          <w:sz w:val="17"/>
          <w:szCs w:val="17"/>
          <w:color w:val="auto"/>
        </w:rPr>
        <w:t>) and designated SE484 as our lead candidate strain. After engineering this strain to be auxotrophic for D-alanine, we nominated this candidate for use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active microbe in the ATR-04 drug product formulation.</w:t>
      </w:r>
    </w:p>
    <w:p>
      <w:pPr>
        <w:spacing w:after="0" w:line="16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EGFRi-associated rash is a condition that is characterized by redness, itchiness, and irritation of the skin, and is induced by certain cancer treatments. It was shown, by gene expression profiling (Satoh et al 2020), that skin biopsy samples from patients suffering from EGFRi-associated rash had elevated levels of cytokines IL-36γ (IL-36 gamma) and IL-8 compared to skin from healthy donors. These are proinflammatory cytokines that are signaling molecules of the immune system that increase the intensity of an immune response and can cause tissue damage. In addition to elevated cytokine levels, EGFRi-treated patients have impaired skin barrier function. Infection with pathogenic strains of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exacerbates the EGFRi-induced cutaneous disease.</w:t>
      </w:r>
    </w:p>
    <w:p>
      <w:pPr>
        <w:spacing w:after="0" w:line="170"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Our work was focused on identifying a </w:t>
      </w:r>
      <w:r>
        <w:rPr>
          <w:rFonts w:ascii="Times New Roman" w:cs="Times New Roman" w:eastAsia="Times New Roman" w:hAnsi="Times New Roman"/>
          <w:sz w:val="17"/>
          <w:szCs w:val="17"/>
          <w:i w:val="1"/>
          <w:iCs w:val="1"/>
          <w:color w:val="auto"/>
        </w:rPr>
        <w:t>Staphylococcus epidermidis</w:t>
      </w:r>
      <w:r>
        <w:rPr>
          <w:rFonts w:ascii="Times New Roman" w:cs="Times New Roman" w:eastAsia="Times New Roman" w:hAnsi="Times New Roman"/>
          <w:sz w:val="17"/>
          <w:szCs w:val="17"/>
          <w:color w:val="auto"/>
        </w:rPr>
        <w:t xml:space="preserve"> strain, a skin commensal, that reduces IL-36γ levels and thus reduces the rash associated with EGFRi. We reasoned that many species of bacteria that live on human skin probably survive there because they have evolved ways to reduce the human immune system’s response to their presence, and we might be able to identify a resident human skin commensal bacteria that survives thereby specifically reducing IL-36γ activity.</w:t>
      </w:r>
    </w:p>
    <w:p>
      <w:pPr>
        <w:spacing w:after="0" w:line="164"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To identify such a </w:t>
      </w:r>
      <w:r>
        <w:rPr>
          <w:rFonts w:ascii="Times New Roman" w:cs="Times New Roman" w:eastAsia="Times New Roman" w:hAnsi="Times New Roman"/>
          <w:sz w:val="17"/>
          <w:szCs w:val="17"/>
          <w:i w:val="1"/>
          <w:iCs w:val="1"/>
          <w:color w:val="auto"/>
        </w:rPr>
        <w:t>Staphylococcus epidermidis</w:t>
      </w:r>
      <w:r>
        <w:rPr>
          <w:rFonts w:ascii="Times New Roman" w:cs="Times New Roman" w:eastAsia="Times New Roman" w:hAnsi="Times New Roman"/>
          <w:sz w:val="17"/>
          <w:szCs w:val="17"/>
          <w:color w:val="auto"/>
        </w:rPr>
        <w:t xml:space="preserve"> strain, we developed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assay to measure the levels of IL-36γ and IL-8 that are produced by human skin cells that are grown in culture. The cell line we used is called HaCaT and is derived from human keratinocytes, which are a cell type in the epidermis. In order to simulate the inflammatory phenotype of EGFRi-related disease of the skin, HaCaT cells were stimulated with an immunostimulant, polyinosinic:polycytidylic acid, or poly I:C, which causes them to secrete elevated levels of IL-36γ and IL-8. This assay was used to identify and evaluate the ability of different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strains to lower IL-36γ and IL-8 levels.</w:t>
      </w:r>
    </w:p>
    <w:p>
      <w:pPr>
        <w:spacing w:after="0" w:line="170"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We screened over 100 strains based on safety (e.g., lack of antibiotic resistance) and biological activity (IL-36γ inhibition and activity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and designated SE484 as our lead candidate strain. After engineering this strain to be auxotrophic for D-alanine, so that it will grow only if provided with D-alanine, we also eliminated an anti-biotic resistance gene. Then, we nominated this candidate for use as the active microbe in the ATR-04 drug product formulation.</w:t>
      </w:r>
    </w:p>
    <w:p>
      <w:pPr>
        <w:spacing w:after="0" w:line="16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To test the ability of SE484 to reduce IL-36γ on a skin-like model, erlotinib was used to induce IL-36γ secretion on reconstructed human epidermis, or RHE. Simultaneous application of SE484 with erlotinib reduced IL-36γ to a level comparable RHE that had not been treated with erlotinib, showing that SE484 acts on a skin-like model to reduce this pro-inflammatory cytokine. Figure 7 shows the results of two experiments to measure IL-36γ reduction by SE484. In Figure 7A,</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7"/>
          <w:szCs w:val="17"/>
          <w:color w:val="auto"/>
        </w:rPr>
        <w:t>a cell-free supernatant (CFS) from a culture of SE484 was applied to RHE, while in Figure 7B live cells of SE484 (either 1x10</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CFU or 1x10</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CFU) were applied to RHE to measure the ability of SE484 to reduce IL-36γ. In both cases, cell-free supernatant or SE484 cells, erlotinib-induced IL-36γ levels were reduced.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1249680</wp:posOffset>
            </wp:positionH>
            <wp:positionV relativeFrom="page">
              <wp:posOffset>412750</wp:posOffset>
            </wp:positionV>
            <wp:extent cx="5057140" cy="2301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057140" cy="230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b w:val="1"/>
          <w:bCs w:val="1"/>
          <w:color w:val="auto"/>
        </w:rPr>
        <w:t>Figure 7. The anti-IL-36g activity of SE484 on RHE</w:t>
      </w:r>
      <w:r>
        <w:rPr>
          <w:rFonts w:ascii="Times New Roman" w:cs="Times New Roman" w:eastAsia="Times New Roman" w:hAnsi="Times New Roman"/>
          <w:sz w:val="17"/>
          <w:szCs w:val="17"/>
          <w:color w:val="auto"/>
        </w:rPr>
        <w:t>. Reconstructed human epidermis, or RHE, was treated for 72 hours with 1 mM erlotinib alone or with cell-free supernatant (CFS) from SE484 culture (A), or with approximately 10</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or 10</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CFU of SE484 (B). RHE feeding media was then assayed by ELISA for IL-36γ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129540</wp:posOffset>
            </wp:positionV>
            <wp:extent cx="2755265" cy="25444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55265" cy="254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color w:val="auto"/>
        </w:rPr>
        <w:t>Figure 8. IL-8 induction by Poly I:C is Reduced by CS of SE484</w:t>
      </w:r>
      <w:r>
        <w:rPr>
          <w:rFonts w:ascii="Times New Roman" w:cs="Times New Roman" w:eastAsia="Times New Roman" w:hAnsi="Times New Roman"/>
          <w:sz w:val="17"/>
          <w:szCs w:val="17"/>
          <w:color w:val="auto"/>
        </w:rPr>
        <w:t>. The presence of culture medium from SE484 prevents the stimulation and release of IL-8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poly I:C (red arrow). An inhibitor of poly I:C is used as control (blue arrow). Data are representative of two independent experiments. CS = culture supernatant.</w:t>
      </w:r>
    </w:p>
    <w:p>
      <w:pPr>
        <w:spacing w:after="0" w:line="149"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Figure 8 shows the inhibitory effect of SE484 culture supernatant on the induction of IL-8 by poly I:C. Similar to IL-36γ, when poly I:C is added to HaCaT cells, IL-8 is also secreted, several fold above background (as seen in untreated HaCaT and SE484-treated HaCaT). However, in the presence of SE484, lower levels of IL-8 were detected, thus further demonstrating the efficacy of SE484 to inhibiting the proinflammatory pathway involved in EGFRi-related rash.</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Our results show that culture media of </w:t>
      </w:r>
      <w:r>
        <w:rPr>
          <w:rFonts w:ascii="Times New Roman" w:cs="Times New Roman" w:eastAsia="Times New Roman" w:hAnsi="Times New Roman"/>
          <w:sz w:val="17"/>
          <w:szCs w:val="17"/>
          <w:i w:val="1"/>
          <w:iCs w:val="1"/>
          <w:color w:val="auto"/>
        </w:rPr>
        <w:t>S. epidermidis strain</w:t>
      </w:r>
      <w:r>
        <w:rPr>
          <w:rFonts w:ascii="Times New Roman" w:cs="Times New Roman" w:eastAsia="Times New Roman" w:hAnsi="Times New Roman"/>
          <w:sz w:val="17"/>
          <w:szCs w:val="17"/>
          <w:color w:val="auto"/>
        </w:rPr>
        <w:t xml:space="preserve"> SE484, which was isolated from a healthy human volunteer, can reduce the level of IL-36γ and IL-8 produced by HaCaT cells (Figure 7 and Figure 8, respectively) and thus help in the treatment of EGFRi- related rash. In addition to its anti-IL-36γ property, SE484 also has broad activity against different methicillin-resistant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or MRSA, strain types as well as methicillin sensitive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or MSSA. The ability of SE484 to reduce IL-36γ/IL-8 levels as well as its activity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and the engineered D-alanine auxotrophy enabled us to nominate strain SE484 for use as the active microbe in the ATR-04 drug product formulation to form the basis of a treatment and reduce the severity of EGFRi rash.</w:t>
      </w:r>
    </w:p>
    <w:p>
      <w:pPr>
        <w:spacing w:after="0" w:line="170"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We have also shown that SE484 leads to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inhibition of known virulent strains USA300, which is resistant to methicillin, and MSSA, which is sensitive to methicillin. The following data show that ATR-04 reduces the ability of the pathogenic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bacterial species to grow and instigate infections that are seen in patients with EGFRi rash.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114300</wp:posOffset>
            </wp:positionV>
            <wp:extent cx="4635500" cy="19043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35500" cy="190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Figure 9. Epidermin-expressing SE484 kills </w:t>
      </w:r>
      <w:r>
        <w:rPr>
          <w:rFonts w:ascii="Times New Roman" w:cs="Times New Roman" w:eastAsia="Times New Roman" w:hAnsi="Times New Roman"/>
          <w:sz w:val="17"/>
          <w:szCs w:val="17"/>
          <w:b w:val="1"/>
          <w:bCs w:val="1"/>
          <w:i w:val="1"/>
          <w:iCs w:val="1"/>
          <w:color w:val="auto"/>
        </w:rPr>
        <w:t>S. aureus</w:t>
      </w:r>
      <w:r>
        <w:rPr>
          <w:rFonts w:ascii="Times New Roman" w:cs="Times New Roman" w:eastAsia="Times New Roman" w:hAnsi="Times New Roman"/>
          <w:sz w:val="17"/>
          <w:szCs w:val="17"/>
          <w:b w:val="1"/>
          <w:bCs w:val="1"/>
          <w:color w:val="auto"/>
        </w:rPr>
        <w:t xml:space="preserve"> with similar activity as mupirocin on in vitro agar plates.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are proposing an initial study of SE484 in the ATR-04 formulation in patients. It is contemplated to be a Phase 1b multi-center, randomized, double-blind, single-dose, placebo-controlled trial in patients with colorectal or head and neck cancer who are initiating EGFRi therapies. The primary endpoint is safety, and secondary endpoints will include efficacy and Quality of Life, or QoL We are planning to submit an IND by the first half of 2024. Subject to FDA clearance of our IND, we expect to commence our Phase 1b clinical trial in the second half of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ATR-01 for the treatment of ichthyosis vulgaris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ATR-01 is our drug product candidate intended to treat ichthyosis vulgaris. The program is currently investigating a proprietary and patent-pending novel engineering segment of human filaggrin protein. ATR-01 is being developed as a topical application intended to address ichthyosis vulgaris, a chronic scaly skin disease with an estimated incidence and prevalence of 1 in 250, which gives a total patient population of 1.3 million in the United States. Ichthyosis vulgaris is caused by loss-of-function mutations in the gene encoding filaggrin Using synthetic biology tools for protein engineering, we attached a cell penetrating peptide to filaggrin, which helps facilitate deeper skin delivery for filaggrin. This is designed to overcome the impenetrability of the skin barrier, which would otherwise limit topical protein delivery.</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Ichthyosis vulgaris overview</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Ichthyosis vulgaris, or IV, is a chronic, xerotic, scaly skin disease with an estimated incidence and prevalence of 1 in 250, which gives a total patient population of 1.3 million in the United States. Clinical features of IV usually appear at around 2 months of age and include generalized xerosis and fine, white to gray scales that are prominent on the abdomen, chest, and extensor surfaces of the extremities. Although rare, some IV patients also experience hypohidrosis and heat intolerance. The pathogenesis of IV has long been identified as a decrease in the size or number, or even a complete absence of, epidermal keratohyaline granules. In addition, patients with IV are at increased risk for atopic dermatitis, asthma and allergies.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68" w:name="page69"/>
    <w:bookmarkEnd w:id="68"/>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 xml:space="preserve">Ichthyosis vulgaris is an autosomal semidominant disease caused by loss-of-function mutations in the gene encoding filaggrin. Filaggrin is an essential structural protein that is derived from profilaggrin, which breaks down into individual filaggrin units in the stratum corneum. These reinforce the skin barrier by binding to keratins and other intermediate filament proteins in the keratinocyte cytoskeleton. Many studies have identified loss-of-function mutations in </w:t>
      </w:r>
      <w:r>
        <w:rPr>
          <w:rFonts w:ascii="Times New Roman" w:cs="Times New Roman" w:eastAsia="Times New Roman" w:hAnsi="Times New Roman"/>
          <w:sz w:val="17"/>
          <w:szCs w:val="17"/>
          <w:i w:val="1"/>
          <w:iCs w:val="1"/>
          <w:color w:val="auto"/>
        </w:rPr>
        <w:t>FLG</w:t>
      </w:r>
      <w:r>
        <w:rPr>
          <w:rFonts w:ascii="Times New Roman" w:cs="Times New Roman" w:eastAsia="Times New Roman" w:hAnsi="Times New Roman"/>
          <w:sz w:val="17"/>
          <w:szCs w:val="17"/>
          <w:color w:val="auto"/>
        </w:rPr>
        <w:t xml:space="preserve"> in IV patients, and these mutations are associated with disorganized keratin filaments, skin barrier defects and microfractures in the stratum corneum leading to enhanced percutaneous allergen sensitization. Moreover, filaggrin and its breakdown products have significant additional functions in the skin including moisturizing the skin (via hygroscopic amino acids or “natural moisturizing factors”), effecting production of antimicrobial molecules (particularly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and maintaining both a beneficial lipid profile and pH in the skin.</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There are few effective therapies for the treatment of IV. Current treatment options for IV include primarily topical water evaporation suppressants (e.g., sodium chloride, urea, lactic acid, salicylic acid), and, to a lesser extent, moisturizers (e.g., glycerol, propylene glycol,). Topical retinoids may also be prescribed in an effort to slow the body’s production of skin cells. However, long-term retinoid use is not ideal. Of particular concern is the teratogenic effect of all retinoids, which limits their use in women of child-bearing potential. Chronic toxicities from long term therapy with retinoids may result in skeletal abnormalities. Furthermore, the chronic use of retinoids in children may inhibit their growth. Notably, many patients with IV experience a significantly reduced quality of life, due to self-consciousness and social embarrassment, and see a negative impact on domestic life, educational/professional lives and even leisure/sports activities.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Our solution – ATR-01 for the treatment of ichthyosis vulgaris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It is now known that IV is caused by loss-of-function mutations in the gene encoding filaggrin, leading to disorganized keratin filaments, skin barrier defects and microfractures in the stratum corneum, and resulting in enhanced percutaneous allergen sensitization as well as bacterial and viral skin infection. We are developing ATR-01 as a novel treatment modality for IV that directly addresses the disease pathophysiology. ATR-01 consists of FLG9-10 functional unit of the human FLG protein with an attached cell penetrating peptide. The goal is to supplement the skin with stable delivery of hFLG via topical application and deeper skin penetration with a cell penetrating peptide.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Preclinical data for ATR-01</w:t>
      </w:r>
    </w:p>
    <w:p>
      <w:pPr>
        <w:spacing w:after="0" w:line="213"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Human FLG units (domains 9-10) were evaluated on human skin explants (from plastic surgery)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The skin barrier of the explants was compromised by repeated tape-stripping such that transepidermal water loss, or TEWL values were significantly increased compared to normal skin. As shown in the example below, daily topical application of a human filaggrin unit with a cell penetrating peptide for five days resulted in a dose-dependent (not shown) rapid improvement in TEWL, suggesting improved skin barrier. Thus, topical delivery of a recombinant hFLG unit coupled with a cell penetrating peptide can improve/accelerate the repair of damaged human skin barrier.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1063625</wp:posOffset>
            </wp:positionH>
            <wp:positionV relativeFrom="page">
              <wp:posOffset>412750</wp:posOffset>
            </wp:positionV>
            <wp:extent cx="5421630" cy="2390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421630" cy="239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Figure 10: Topical filaggrin application on tape stripped </w:t>
      </w:r>
      <w:r>
        <w:rPr>
          <w:rFonts w:ascii="Times New Roman" w:cs="Times New Roman" w:eastAsia="Times New Roman" w:hAnsi="Times New Roman"/>
          <w:sz w:val="17"/>
          <w:szCs w:val="17"/>
          <w:b w:val="1"/>
          <w:bCs w:val="1"/>
          <w:i w:val="1"/>
          <w:iCs w:val="1"/>
          <w:color w:val="auto"/>
        </w:rPr>
        <w:t>ex vivo</w:t>
      </w:r>
      <w:r>
        <w:rPr>
          <w:rFonts w:ascii="Times New Roman" w:cs="Times New Roman" w:eastAsia="Times New Roman" w:hAnsi="Times New Roman"/>
          <w:sz w:val="17"/>
          <w:szCs w:val="17"/>
          <w:b w:val="1"/>
          <w:bCs w:val="1"/>
          <w:color w:val="auto"/>
        </w:rPr>
        <w:t xml:space="preserve"> human skin following human filaggrin application.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 xml:space="preserve">Lastly, we have shown that topical filaggrin can improve skin barrier defects in filaggrin-deficient mouse models. Recombinant mouse filaggrin, or mFlg, was applied to the tail of flaky tail, or FT, mice (a mouse model that has a knockout in the </w:t>
      </w:r>
      <w:r>
        <w:rPr>
          <w:rFonts w:ascii="Times New Roman" w:cs="Times New Roman" w:eastAsia="Times New Roman" w:hAnsi="Times New Roman"/>
          <w:sz w:val="17"/>
          <w:szCs w:val="17"/>
          <w:i w:val="1"/>
          <w:iCs w:val="1"/>
          <w:color w:val="auto"/>
        </w:rPr>
        <w:t>filaggrin</w:t>
      </w:r>
      <w:r>
        <w:rPr>
          <w:rFonts w:ascii="Times New Roman" w:cs="Times New Roman" w:eastAsia="Times New Roman" w:hAnsi="Times New Roman"/>
          <w:sz w:val="17"/>
          <w:szCs w:val="17"/>
          <w:color w:val="auto"/>
        </w:rPr>
        <w:t xml:space="preserve"> gene) once daily for 2 weeks (50 µg total protein/tail sections or</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15.2 µg total protein/cm</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Daily treatment with mFlg significantly improved transepidermal water loss in FT mice when treated (FT+FLG group) compared to vehicle (“baseline” group). The third group on the X-axis is a normal, control, wild type group (WT) that does not have the </w:t>
      </w:r>
      <w:r>
        <w:rPr>
          <w:rFonts w:ascii="Times New Roman" w:cs="Times New Roman" w:eastAsia="Times New Roman" w:hAnsi="Times New Roman"/>
          <w:sz w:val="17"/>
          <w:szCs w:val="17"/>
          <w:i w:val="1"/>
          <w:iCs w:val="1"/>
          <w:color w:val="auto"/>
        </w:rPr>
        <w:t>filaggrin</w:t>
      </w:r>
      <w:r>
        <w:rPr>
          <w:rFonts w:ascii="Times New Roman" w:cs="Times New Roman" w:eastAsia="Times New Roman" w:hAnsi="Times New Roman"/>
          <w:sz w:val="17"/>
          <w:szCs w:val="17"/>
          <w:color w:val="auto"/>
        </w:rPr>
        <w:t xml:space="preserve"> gene knocked out. Treatment of damaged mouse skin with recombinant mFlg combined to a cell penetrating peptide improved damaged mouse skin barrier (Figure A below). Additionally, histological analysis of the epidermis of the mouse tail sections showed tendency for improved stratum corneum thickness with mFlg treatment (Figure B below). In this graph, the Y-axis represents thickening of the stratum corneum, which starts to fractionate or scale after growing past a normal thickness. Treatment with mFlg improved the thickness in four of six of the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130175</wp:posOffset>
            </wp:positionV>
            <wp:extent cx="4781550" cy="1936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81550" cy="193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i w:val="1"/>
          <w:iCs w:val="1"/>
          <w:color w:val="auto"/>
        </w:rPr>
        <w:t>Other Potential Product Candidates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Beyond our three lead product candidates, our goal is to develop a broad portfolio of 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microbial genetic technology that analyzes, predicts and engineers the proteins, peptides and molecules made by skin microbes. Our ability to genetically engineer intractable microbial species is uniquely leveraged by our exclusive license to the SyMPL technology.</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Bayer Joint Development Agreement</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 xml:space="preserve">In December 2019, we entered into a Joint Development Agreement, or JDA, with Bayer pursuant to which we agreed to the joint development of certain strains selected from our proprietary microbial library. We and Bayer have agreed to cooperate in the identification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characterization of microbial strains for topical formulations. Bayer paid us a one-time $150,000 payment upon execution of the JDA and has agreed to reimburse us for our development costs. In October 2021, Bayer expanded the option agreement and paid us $375,000 for additional characterization work. We have granted Bayer an option to acquire an exclusive royalty bearing license for up to six strains subject to development activities under the JDA, including an exclusive royalty bearing license to any related patent rights. After screening through hundreds of strains, we and Bayer have selected two particular strains to move forward with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 xml:space="preserve">ex vivo </w:t>
      </w:r>
      <w:r>
        <w:rPr>
          <w:rFonts w:ascii="Times New Roman" w:cs="Times New Roman" w:eastAsia="Times New Roman" w:hAnsi="Times New Roman"/>
          <w:sz w:val="17"/>
          <w:szCs w:val="17"/>
          <w:color w:val="auto"/>
        </w:rPr>
        <w:t>characterization, which we intend to develop as potential over-the-counter cosmetic products. We completed the characterization work and delivered the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Bayer in the fourth quarter of 2023, at which time Bayer has 12 months to exercise its option to license the strains and related patents. Upon the conclusion of the characterization studies and our delivery of the data to Bayer, the JDA will end, but Bayer has the option to license the strains and related patents. As of the date of this prospectus, we have not negotiated a commercial license agreement with Bayer and we will not do so until such time, if ever, as Bayer exercises its option to acquire an exclusive royalty bearing license.</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September 2020, Bayer’s venture capital group, LEAPS by Bayer, purchased $8 million of our Series B preferred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Given our stage of development, we have not yet established a commercial organization or distribution capabilities. We plan to build focused capabilities in the United States to commercialize our development programs focused on live biotherapeutic products and recombinant proteins for the treatment of skin diseases, where we believe the patient populations and medical specialists for the indications we are targeting are sufficiently concentrated to allow us to effectively promote our products, if approved for commercial sale, with a targeted sales team. In other markets for which commercialization may be less capital efficient for us, we may selectively pursue strategic collaborations with third parties in order to maximize the commercial potential of our product candidates.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do not own or operate manufacturing facilities for the production of our current product candidates. We currently rely on third-party contract manufacturers for all of our required raw materials, manufacturing devices and active pharmaceutical ingredients and for our preclinical research and clinical trials. Although we are able to manufacture finished product in our Groton Connecticut facility for our clinical trials, we will rely on third parties for the manufacture of our finished product for commercial sale. We do not have long-term agreements with any of these third parties. We also do not have any current contractual relationship for the manufacture of Phase 3 clinical trials or commercial supplies. We intend to enter into agreements with third-party contract manufacturers and one or more backup manufacturers for future production. We are analyzing the feasibility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biopharmaceutical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other biopharmaceutical companies, academic institutions and governmental agencies as well as public and private research institutions. Any drug candidates that we successfully develop and commercialize will compete with existing treatments and new treatments that may become available in the future.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Netherton syndrome</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 xml:space="preserve">With respect to Netherton syndrome, no drug has been approved by the FDA, specifically for Netherton syndrome, to date. Standard of care includes cleansing of the skin with a gentle/soft non-detergent liquid cleansing oil, preferably with an acidic pH (5). Because Netherton syndrome patient skin is most often dry, scaly and peeling, emollients and moisturizers are also often used. Keratolytics such as salicylic acid, urea or alpha-hydroxy acids are often irritative and not well tolerated by Netherton syndrome patients. The skin of Netherton syndrome patients is prone to frequent bacterial infections. Limited infections are treated with topical antibiotics for a short period of up to 2 weeks. Oral antibiotics may also be used to treat the pathogenic </w:t>
      </w:r>
      <w:r>
        <w:rPr>
          <w:rFonts w:ascii="Times New Roman" w:cs="Times New Roman" w:eastAsia="Times New Roman" w:hAnsi="Times New Roman"/>
          <w:sz w:val="17"/>
          <w:szCs w:val="17"/>
          <w:i w:val="1"/>
          <w:iCs w:val="1"/>
          <w:color w:val="auto"/>
        </w:rPr>
        <w:t>Staphylococcus aureus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Streptococcus</w:t>
      </w:r>
      <w:r>
        <w:rPr>
          <w:rFonts w:ascii="Times New Roman" w:cs="Times New Roman" w:eastAsia="Times New Roman" w:hAnsi="Times New Roman"/>
          <w:sz w:val="17"/>
          <w:szCs w:val="17"/>
          <w:color w:val="auto"/>
        </w:rPr>
        <w:t xml:space="preserve"> strains that can drive more extreme infections. Bleach baths are also recommended two to three times a week for their antimicrobial effects. Topical corticosteroids are often used to treat the inflammatory and hyperproliferation associated with non-infected Netherton syndrome lesions, but due to their adverse effects, must be limited. These adverse events include aminoaciduria, Cushing syndrome, skin atrophy, adrenal insufficiency, growth retardation, hypertension and weakness. Overuse of topical steroids can even aggravate the defective skin barrier by inducing loss of the stratum corneum. Systemic retinoids have shown varying degrees of efficacy in Netherton syndrome, but also carry bone toxicity and teratogenicity as adverse effects. Topical calcineurin inhibitors have been used to reduce erythema (redness) but patients have shown a tachyphylaxis and reduced efficacy with prolonged treatment. These immunomodulators also carry risks of serious adverse effects including increased risk of infections, swelling, burning sensations and tingling. Phototherapy (narrowband UVB (NB-UVB) and psoralen-UVA (PUVA)) has also been investigated in Netherton syndrome patients but has been limited due to its potential to cause erythema and increases in the risk of skin cancer.</w:t>
      </w:r>
    </w:p>
    <w:p>
      <w:pPr>
        <w:spacing w:after="0" w:line="18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are also aware that Sixera Pharma initiated a clinical trial in Europe with SXR-1096, a topical small molecule KLK inhibitor in December 2021 for Netherton syndrome. In addition, Quoin Pharmaceuticals initiated two clinical trials with QRX003, a topical small molecule broad-spectrum serine protease inhibitor, in December 2022 and March 2023. Krystal Biotech, MatriSys, and BridgeBio have reported they are developing Netherton syndrome programs that are at a preclinical stage.</w:t>
      </w:r>
    </w:p>
    <w:p>
      <w:pPr>
        <w:spacing w:after="0" w:line="171"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Our commercial opportunity could be reduced or eliminated if our competitors develop and commercialize drugs that are safer, more effective, have fewer or less severe side effects, are more convenient or are less expensive than ATR-12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2" w:name="page73"/>
    <w:bookmarkEnd w:id="72"/>
    <w:p>
      <w:pPr>
        <w:ind w:left="620"/>
        <w:spacing w:after="0"/>
        <w:rPr>
          <w:sz w:val="20"/>
          <w:szCs w:val="20"/>
          <w:color w:val="auto"/>
        </w:rPr>
      </w:pPr>
      <w:r>
        <w:rPr>
          <w:rFonts w:ascii="Times New Roman" w:cs="Times New Roman" w:eastAsia="Times New Roman" w:hAnsi="Times New Roman"/>
          <w:sz w:val="17"/>
          <w:szCs w:val="17"/>
          <w:i w:val="1"/>
          <w:iCs w:val="1"/>
          <w:color w:val="auto"/>
        </w:rPr>
        <w:t>EGFRi-Associated Rash</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To date, no drug has been specifically approved by the FDA for the treatment of EGFRi-associated rash. The majority of patients (estimated to be up to 90%) treated continuously with anti-EGFR therapies suffer from dermatological adverse events, especially papulopustular rash, pruritus (itching), xerosis (dryness), and paronychia (nail infections). Papulopustular or acneiform rash is the most common adverse event of EGFRis on the skin. This rash negatively impacts compliance with EGFRi treatment in many patients. Dose modification or discontinuation treatment occurs in severe cases. Because evidence-based controlled trials are still very sparse, treatment of EGFRi skin toxicity primarily relies on physician experience, and recommendations from expert consensus conferences. As a result, there are geographical variations and even inconsistencies in the clinical treatment of EGFRi skin rash. Topical corticosteroids are avoided in Europe with respect to acneiform rash but are often used in the United States. Furthermore, topical treatment is frequently customized to the individual patient and may change on a case-by-case basis. No topical treatment scheme is universally applicable for all patients.</w:t>
      </w:r>
    </w:p>
    <w:p>
      <w:pPr>
        <w:spacing w:after="0" w:line="17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are aware of the following Phase 2 programs developing investigational drug candidates for EGFRi associated rash. Lutris Pharma is developing LUT014, a topical B-Raf inhibitor, in the US and Israel. Daewoong Pharmaceutical Co. Ltd. is developing DWP708 in Korea.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actively seek to protect our proprietary technology, inventions, improvements to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future in-licensing opportunities to develop, strengthen and maintain the strength of our position in the field of gene therapy that may be important for the development of our business. Additional regulatory protection may also be afforded through data exclusivity, market exclusivity and patent-term extensions where available.</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As of the date of this prospectus, we own or exclusively license three issued U.S. patents, 12 pending U.S. patent applications, three pending PCT application and 57 other foreign patents and patent applications that are important to the development of our business.</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policy is to file patent applications to protect proprietary technology, inventions and improvements to inventions and other intellectual property that may be commercially important to the development of our business. We also intend to seek additional patent protection or rely upon know-how or trade secret rights to protect other technologies that may be used to manufacture and develop our live biotherapeutic products. As described below, we are a party to exclusive license agreements that grant us rights to use specific technologies in our live biotherapeutic products and in the manufacturing and development of our products.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Patent Portfolio</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patent portfolio has broad coverage for therapeutic bacteria pharmaceutical compositions containing these therapeutic bacteria for treating abnormal skin conditions and methods of making and using these recombinant bacteria. In our broadest filing, we have secured a US patent that protects pharmaceutical compositions for treating abnormal skin conditions using a bacterial strain expressing a therapeutically effective amount of a recombinant polypeptide. This patent expires in May 2035. Specifically, this issued patent covers a pharmaceutical composition containing one or more of the following bacterial strains: Bifidobacterium, Brevibacterium, Propionibacterium, Lactococcus, Streptococcus, Staphylococcus, Lactobacillus, Enterococcus, Pediococcus, Leuconostoc, or Oenococcus, wherein the bacterial strain has been engineered to produce a therapeutical polypeptide for treating the abnormal skin conditions. We believe that this patent gives us broad protection for using recombinant bacteria to treat skin diseases and disorders. through its expiration in May 2035.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7"/>
          <w:szCs w:val="17"/>
          <w:color w:val="auto"/>
        </w:rPr>
        <w:t>Patent applications directed to our most advanced programs are summarized below.</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ATR-12</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 xml:space="preserve">Our ATR-12 product candidate is subject to three issued US patents, seven pending US patent applications, and 31 pending foreign patents and patent applications. These patents and patent applications represent ten families of claims covering, among other aspects, the pharmaceutical composition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expressing a recombinant therapeutic polypeptide, the auxotrophic strain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and the recombinant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 expressing a therapeutic LEKTI protein, and formulations of ATR-12. One of the issued US patents covers a recombinant bacterial strain containing a therapeutic polypeptide for treating abnormal skin conditions and expires in 2035. The second issued US patent covers an auxotrophic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that will expire in 2039. If additional patents were to grant from the pending patent applications, they would expire between 2035 and 2044.</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ATR-04</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ATR-12 product candidate is subject to one issued US patent, two pending US patent applications, and 17 pending foreign applications. These patents and patent applications represent two families of claims directed to auxotrophic strains of bacteria and their therapeutic use for treating disease. We have one issued US patent that covers ATR-04. If additional patents were to grant, they would also expire in 2039.</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Patent Term and Term Extension</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In addition, in certain instances, the term of a U.S. patent can be extended to recapture a portion of the United States Patent and Trademark Office, or the USPTO, delay in issuing the patent as well as a portion of the term effectively lost as a result of the FDA regulatory review period. However, as to the FDA component, the restoration period cannot be longer than five years and the restoration period cannot extend the patent term beyond 14 years from FDA approval. In addition, only one patent applicable to an approved drug is eligible for the extension, and only those claims covering the approved drug, a method for using it, or a method of manufacturing may be extended. The duration of foreign patents varies in accordance with provisions of applicable local law, but typically is also 20 years from the earliest effective filing date. All taxes, annuities or maintenance fees for a patent, as required by the USPTO and various foreign jurisdictions, must be timely paid in order for the patent to remain in force during this period of time.</w:t>
      </w:r>
    </w:p>
    <w:p>
      <w:pPr>
        <w:spacing w:after="0" w:line="18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actual protection afforded by a patent may vary on a product-by-product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the section titled “</w:t>
      </w:r>
      <w:r>
        <w:rPr>
          <w:rFonts w:ascii="Times New Roman" w:cs="Times New Roman" w:eastAsia="Times New Roman" w:hAnsi="Times New Roman"/>
          <w:sz w:val="17"/>
          <w:szCs w:val="17"/>
          <w:i w:val="1"/>
          <w:iCs w:val="1"/>
          <w:color w:val="auto"/>
        </w:rPr>
        <w:t>Risk Factors—Risks Related to Our Intellectual Property</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Trade Secrets and Know-How</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may also rely on trade secrets, know-how, continuing technological innovation and confidential information to develop and maintain our proprietary position and protect aspects of our business that are not amenable to, or that we do not consider appropriate for, patent protection, including our proprietary processes for manufacturing our live biotherapeutic products. We seek to protect our proprietary technology and processes,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These agreements may be breached, and we may not have adequate remedies for any breach. In addition, our trade secrets may otherwise become known or be independently discovered by competitors. To the extent that our contractors, commercial partners, collaborators, employees, and consultants use intellectual property owned by others in their work for us, disputes may arise as to the rights in related or resulting know-how and inventions. For more information, see the section titled “</w:t>
      </w:r>
      <w:r>
        <w:rPr>
          <w:rFonts w:ascii="Times New Roman" w:cs="Times New Roman" w:eastAsia="Times New Roman" w:hAnsi="Times New Roman"/>
          <w:sz w:val="17"/>
          <w:szCs w:val="17"/>
          <w:i w:val="1"/>
          <w:iCs w:val="1"/>
          <w:color w:val="auto"/>
        </w:rPr>
        <w:t>Risk Factors—Risks Related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4" w:name="page75"/>
    <w:bookmarkEnd w:id="74"/>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data and trade secrets by maintaining physical security of our premises and physical and electronic security of our information technology systems.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Exclusive License Agreement with Fred Hutchison Cancer Center</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In January 2022, we entered into an Exclusive License Agreement with the Fred Hutchinson Cancer Center, or Fred Hutch. Pursuant to our agreement with Fred Hutch, we obtained an exclusive worldwide license under certain patents related to SyMPL technologies developed and owned by Fred Hutch to develop, make, manufacture, have manufactured, distribute, have distributed, use, research, improve, import, offer to sell and sell and otherwise commercialize products that are covered by such patents. Such exclusive license is subject to certain rights retained by Fred Hutch and the U.S. government. The patent rights licensed to us by Fred Hutch consist of two families of patent applications directed to methods of bypassing restriction modification systems in order to more easily introduce xenogeneic DNA into engineered microbes. These patents applications and any patents that issue from these applications will allow us to produce more modified microbes for the treatment of disease. Our current product candidates do not incorporate the SyMPL technology platform, but we expect that some or all of our future product candidates will do so. If issued, these two families will expire in 2037 and 2040, respectively.</w:t>
      </w:r>
    </w:p>
    <w:p>
      <w:pPr>
        <w:spacing w:after="0" w:line="17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consideration of the license granted to us under the Fred Hutch license agreement, we paid Fred Hutch a nominal upfront payment. In addition, we are required to pay Fred Hutch certain development and commercial milestone payments and running single digit royalty on net sales of the licensed products. The Fred Hutch agreement also requires us to reimburse Fred Hutch for the cost of the prosecution and maintenance of the licensed patents.</w:t>
      </w:r>
    </w:p>
    <w:p>
      <w:pPr>
        <w:spacing w:after="0" w:line="16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Pursuant to the Fred Hutch license agreement, we are required to use commercially reasonable efforts to bring a licensed product to market through a vigorous and diligent program for exploitation of the licensed patent rights. The term of the Fred Hutch license agreement will continue until the later of (i) the expiration of the licensed patents or (ii) ten years from the first sale of a licensed product. We may terminate the Fred Hutch license agreement at will at any time upon prior written notice to Fred Hutch. Fred Hutch has the right to terminate the Fred Hutch license agreement if we materially breach the agreement and fail to cure such breach within a specified cure period or if we become bankrupt or insolvent. For more information related to the intellectual property acquired pursuant to the Fred Hutch license agreement, see the section titled “</w:t>
      </w:r>
      <w:r>
        <w:rPr>
          <w:rFonts w:ascii="Times New Roman" w:cs="Times New Roman" w:eastAsia="Times New Roman" w:hAnsi="Times New Roman"/>
          <w:sz w:val="17"/>
          <w:szCs w:val="17"/>
          <w:i w:val="1"/>
          <w:iCs w:val="1"/>
          <w:color w:val="auto"/>
        </w:rPr>
        <w:t>Business-Licenses and Intellectual Property Rights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hold registered trademarks for our corporate name and design in the U.S. and in seven foreign countries.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Pharmaceutical companies are subject to extensive regulation by foreign, federal, state and local agencies, such as the U.S. FDA, and various similar agencies in most countries worldwide. The research, development, testing, manufacture, distribution, packaging, labeling, storage, recordkeeping, marketing and sale of pharmaceutical products are subject to government regulation in the U.S. and various foreign countries. Additionally, in the U.S., we must follow rules and regulations established by the FDA requiring the presentation of data indicating that our product candidates are safe and effective and are manufactured in accordance with cGMP regulations. If we do not comply with applicable requirements, we may be fined, the government may refuse to approve our marketing applications or allow us to manufacture or market our product candidates, and we may be criminally prosecuted. We, our manufacturers and clinical research organizations may also be subject to regulations under other foreign, federal, state and local laws, including, but not limited to, the U.S. Occupational Safety and Health Act, the Resource Conservation and Recovery Act, the Clean Air Act and import, export and customs regulations as well as the laws and regulations of other countries. The U.S. government has increased its enforcement activity regarding illegal marketing practices domestically and internationally. As a result, pharmaceutical companies must ensure their compliance with the Foreign Corrupt Practices Act and federal healthcare fraud and abuse laws, including the False Claims Act.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5" w:name="page76"/>
    <w:bookmarkEnd w:id="75"/>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These regulatory requirements impact our operations and differ from one country to another, so that securing the applicable regulatory approvals of one country does not imply the approval of another country. The approval procedures involve high costs and are manpower intensive, usually extend over many years and require highly skilled and professional resources.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FDA Market Approval Process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In the U.S., our product candidates are regulated by the FDA as biologics under the Federal Food, Drug, and Cosmetic Act, or FDCA, the Public Health Service Act, or PHSA, and regulations promulgated by the FDA.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customer notification, product recalls, product seizures, refusal to grant export or import approval, total or partial suspension of production or distribution, consent decrees, injunctions, fines, and civil or criminal investigations and penalties brought by the FDA or the U.S. Department of Justice, or other governmental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steps usually required to be taken before a new biologic may be marketed in the U.S. generally include:</w:t>
      </w:r>
    </w:p>
    <w:p>
      <w:pPr>
        <w:spacing w:after="0" w:line="213" w:lineRule="exact"/>
        <w:rPr>
          <w:sz w:val="20"/>
          <w:szCs w:val="20"/>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preclinical laboratory tests and animal studies performed in accordance with the FDA’s current Good Laboratory Practices regulation;</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IND, which must become effective before clinical trials may begin and must be updated annually or when significant changes are made;</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an independent Institutional Review Board, or IRB, or ethics committee at each treatment site before the trial is commenced;</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 controlled human clinical trials to establish the safety, purity and potency of the proposed biologic product candidate for its proposed indication for use;</w:t>
      </w:r>
    </w:p>
    <w:p>
      <w:pPr>
        <w:spacing w:after="0" w:line="153"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of data supporting safety and efficacy as well as detailed information on the manufacture and composition of the product in clinical development and proposed labeling;</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preparation of and submission to the FDA of a BLA after completion of all pivotal clinical trials;</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Advisory Committee review, if applicable;</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by the FDA within 60 days of its receipt of a BLA to file the application for review;</w:t>
      </w:r>
    </w:p>
    <w:p>
      <w:pPr>
        <w:spacing w:after="0" w:line="212" w:lineRule="exact"/>
        <w:rPr>
          <w:rFonts w:ascii="Times New Roman" w:cs="Times New Roman" w:eastAsia="Times New Roman" w:hAnsi="Times New Roman"/>
          <w:sz w:val="17"/>
          <w:szCs w:val="17"/>
          <w:color w:val="auto"/>
        </w:rPr>
      </w:pPr>
    </w:p>
    <w:p>
      <w:pPr>
        <w:jc w:val="both"/>
        <w:ind w:left="920" w:hanging="305"/>
        <w:spacing w:after="0" w:line="266"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pre-approval inspection of the manufacturing facility or facilities at which the proposed product is produced to assess compliance with cGMP standards and to assure that the facilities, methods and controls are adequate to preserve the biological product’s continued safety, purity and potency, and of selected clinical investigation sites to assess compliance with Good Clinical Practices, or GCP;</w:t>
      </w:r>
    </w:p>
    <w:p>
      <w:pPr>
        <w:spacing w:after="0" w:line="166"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any FDA audits of the non-clinical and clinical trial sites to assure compliance with CGP requirements and the integrity of clinical data in support of the BLA;</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user fees and securing FDA approval of the BLA for the proposed indication for use;</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BLA to permit commercial marketing of the product for particular indications for use in the United States; and</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6" w:name="page77"/>
    <w:bookmarkEnd w:id="76"/>
    <w:p>
      <w:pPr>
        <w:ind w:left="920" w:hanging="305"/>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any post-approval requirements, including REMS and any post-approval studies required by the FDA.</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Preclinical Studies and Investigational New Drug Application</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Preclinical tests include laboratory evaluations of product chemistry, formulation and stability, as well as animal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volunteers will be exposed to unreasonable health risks. In that case, the IND sponsor and the FDA must resolve any outstanding FDA concerns before the clinical trial can begin.</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trial or cause delay in initiation of a phase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Clinical Trials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Clinical trials involve the administration of the investigational product candidate to healthy volunteers or patients with the disease to be treated under the supervision of a qualified principal investigator in accordance with good clinical practice, or GCP, requirements. Clinical studies are conducted under protocols detailing, among other things, the objectives of the study, what types of patients may enter the study, schedules of tests and procedures, drugs, dosages, and length of study, as well as the parameters to be used in monitoring safety, and the efficacy criteria to be evaluated. A protocol for each clinical study and any subsequent protocol amendments must be submitted to the FDA as part of the IND process.</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 sponsor who wishes to conduct a clinical trial outside the U.S. may, but need not, obtain FDA authorization to conduct the clinical trial under an IND. If a clinical trial outside the U.S. is not conducted under an IND, the sponsor may submit data from the clinical trial to the FDA in support of a BLA so long as the clinical trial is conducted consistent with the spirit of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74"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An IRB, either centrally or individually, must also review each clinical trial at each institution at which the clinical trial will be conducted. The IRB will consider, among other things, clinical trial design, patient informed consent, ethical factors, the safety of human subjects, the possible liability of the institution, and, where appropriate, the protection of privacy of the human subjects. An IRB must operate in compliance with the FDA regulations. The FDA, IRB, or the clinical trial sponsor, or the principal investigator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studies are overseen by an independent group of qualified experts organized by the clinical study sponsor, known as a data safety monitoring board or committee. This group recommends whether or not a trial may move forward at designated check points based on access to certain data from the study. The clinical study sponsor may also suspend or terminate a clinical trial based on evolving business objectives and/or competitive climate.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7" w:name="page78"/>
    <w:bookmarkEnd w:id="77"/>
    <w:p>
      <w:pPr>
        <w:ind w:firstLine="613"/>
        <w:spacing w:after="0" w:line="282" w:lineRule="auto"/>
        <w:rPr>
          <w:sz w:val="20"/>
          <w:szCs w:val="20"/>
          <w:color w:val="auto"/>
        </w:rPr>
      </w:pPr>
      <w:r>
        <w:rPr>
          <w:rFonts w:ascii="Times New Roman" w:cs="Times New Roman" w:eastAsia="Times New Roman" w:hAnsi="Times New Roman"/>
          <w:sz w:val="17"/>
          <w:szCs w:val="17"/>
          <w:color w:val="auto"/>
        </w:rPr>
        <w:t>Clinical trials are usually conducted in three sequential phases, but the phases may overlap or be combined. Annual progress detailing the results of the clinical trial phases must be submitted to the FDA.</w:t>
      </w:r>
    </w:p>
    <w:p>
      <w:pPr>
        <w:spacing w:after="0" w:line="149" w:lineRule="exact"/>
        <w:rPr>
          <w:sz w:val="20"/>
          <w:szCs w:val="20"/>
          <w:color w:val="auto"/>
        </w:rPr>
      </w:pPr>
    </w:p>
    <w:p>
      <w:pPr>
        <w:jc w:val="both"/>
        <w:ind w:left="920" w:hanging="305"/>
        <w:spacing w:after="0" w:line="258" w:lineRule="auto"/>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clinical trials are normally conducted in small groups of healthy volunteers to assess safety and tolerability of various dosing regimens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pharmacokinetics. For some products for orphan, severe or life-threatening diseases, especially if the product may be too toxic to administer to healthy humans, the initial clinical trials may be conducted in individuals having a specific disease for which use the tested product is indicated. These trials in patients are often referred to as Phase 1b trials. If they include a design to establish a particular dose, they are commonly referred to as Phase 1b/2a clinical trials. Nevertheless, additional Phase 2 (sometimes called Phase 2b) clinical trials are often necessary to refine the final dose chosen to take into a pivotal Phase 3 clinical trial.</w:t>
      </w:r>
    </w:p>
    <w:p>
      <w:pPr>
        <w:spacing w:after="0" w:line="168" w:lineRule="exact"/>
        <w:rPr>
          <w:rFonts w:ascii="Times New Roman" w:cs="Times New Roman" w:eastAsia="Times New Roman" w:hAnsi="Times New Roman"/>
          <w:sz w:val="17"/>
          <w:szCs w:val="17"/>
          <w:color w:val="auto"/>
        </w:rPr>
      </w:pPr>
    </w:p>
    <w:p>
      <w:pPr>
        <w:jc w:val="both"/>
        <w:ind w:left="920" w:hanging="305"/>
        <w:spacing w:after="0" w:line="269" w:lineRule="auto"/>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2 </w:t>
      </w:r>
      <w:r>
        <w:rPr>
          <w:rFonts w:ascii="Times New Roman" w:cs="Times New Roman" w:eastAsia="Times New Roman" w:hAnsi="Times New Roman"/>
          <w:sz w:val="17"/>
          <w:szCs w:val="17"/>
          <w:color w:val="auto"/>
        </w:rPr>
        <w:t>clinical trials are generally conducted in a limited patient population to identify possible adverse effects and safety risks, evaluate the efficacy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product candidate for specific targeted indications and determine does tolerance and optimal dosage. Multiple Phase 2 clinical trials may be conducted by the sponsor to obtain information prior to beginning larger and more costly Phase 3 clinical trials.</w:t>
      </w:r>
    </w:p>
    <w:p>
      <w:pPr>
        <w:spacing w:after="0" w:line="159" w:lineRule="exact"/>
        <w:rPr>
          <w:rFonts w:ascii="Times New Roman" w:cs="Times New Roman" w:eastAsia="Times New Roman" w:hAnsi="Times New Roman"/>
          <w:sz w:val="17"/>
          <w:szCs w:val="17"/>
          <w:color w:val="auto"/>
        </w:rPr>
      </w:pPr>
    </w:p>
    <w:p>
      <w:pPr>
        <w:jc w:val="both"/>
        <w:ind w:left="920" w:hanging="305"/>
        <w:spacing w:after="0" w:line="259" w:lineRule="auto"/>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w:t>
      </w:r>
      <w:r>
        <w:rPr>
          <w:rFonts w:ascii="Times New Roman" w:cs="Times New Roman" w:eastAsia="Times New Roman" w:hAnsi="Times New Roman"/>
          <w:sz w:val="17"/>
          <w:szCs w:val="17"/>
          <w:color w:val="auto"/>
        </w:rPr>
        <w:t>clinical trials proceed if the Phase 2 clinical trials demonstrate that a dose range of the product candidate is potentially effective and has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The FDA may order the temporary or permanent discontinuation of a clinical study at any time or impose other sanctions if it believes that the clinical study is not being conducted in accordance with FDA requirements or that the participants are being exposed to an unacceptable health risk. In some cases, the FDA may approve a BLA for a product candidate but require the sponsor to conduct additional clinical trials to further assess the drug’s safety and effectiveness after BLA approval. Such post-approval trials are typically referred to as Phase 4 clinical trials. These studies are used to gain additional experience data from the 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Compliance with cGMP Requirements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As a product candidate moves through the clinical testing phases, manufacturing processes are further defined, refined, controlled and validated. The level of control and validation required by the FDA increases as clinical studies progress. The FDA typically will not approve a BLA application unless it determines that the manufacturing processes and facilities are in full compliance with cGMP requirements and able to assure consistent production of the product within required specifications. The PHSA emphasizes the importance of manufacturing control for products like biologics whose attributes cannot be precisely defined.</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and the third-party manufacturers on which we rely for the manufacture of our product candidates and their respective components (including the active pharmaceutical ingredient, or API) are subject to requirements that drugs be manufactured, packaged and labeled in conformity with cGMPs. To comply with cGMP requirements, manufacturers must continue to spend time, money and effort to meet requirements relating to personnel, facilities, equipment, production and process, labeling and packaging, quality control, recordkeeping and other requirements.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78" w:name="page79"/>
    <w:bookmarkEnd w:id="78"/>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Manufacturers and others involved in the manufacture and distribution of products must also register their establishments with the FDA and certain state regulatory bodies.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BLA Submission and Review</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Assuming completion of all required testing in accordance with all applicable regulatory requirements, detailed information on the product candidate is submitted to the FDA in the form of a BLA, requesting approval to market the product for one or more indications, together with payment of a user fee, unless waived. A BLA includes all relevant data available from pertinent nonclinical and clinical studies, including negative or ambiguous results as well as positive findings, together with detailed information on the chemistry, manufacture, controls and proposed labeling, among other things. To support marketing approval, the data submitted must be sufficient in quality and quantity to establish the safety and efficacy of the product candidate for its intended use to the satisfaction of the FDA. The FDA also conducts a pre-approval inspection of the manufacturer and laboratory prior to approval of the BLA.</w:t>
      </w:r>
    </w:p>
    <w:p>
      <w:pPr>
        <w:spacing w:after="0" w:line="17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If a BLA submission is accepted for filing, the FDA begins an in-depth review of the BLA. Under the Prescription Drug User Fee Act, or PDUFA, the FDA’s goal is to complete its initial review and respond to the applicant within ten months of submission, unless the application relates to an unmet medical need, or is for a serious or life-threatening indication, in which case the goal may be within six months of BLA submission. However, PDUFA goal dates are not legal mandates, and the FDA response often occurs several months beyond the original PDUFA goal date. Further, the review process and the target response date under PDUFA may be extended if the FDA requests or the BLA sponsor otherwise provides additional information or clarification regarding information already provided in the BLA. The BLA review process can, accordingly, be very lengthy. During its review of a BLA, the FDA may refer the application to an advisory committee for review, evaluation and recommendation as to whether the application should be approved. The FDA is not bound by the recommendation of an advisory committee, but it typically follows such recommendations. Data from clinical studies are not always conclusive and the FDA and/or any advisory committee it appoints may interpret data differently than the applicant.</w:t>
      </w:r>
    </w:p>
    <w:p>
      <w:pPr>
        <w:spacing w:after="0" w:line="180"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After the FDA evaluates the BLA and inspects manufacturing facilities where the drug product and/or its API will be produced and tested, it will either approve commercial marketing of the drug product with prescribing information for specific indications or issue a complete response letter indicating that the application is not ready for approval and stating the conditions that must be met in order to secure approval of the BLA. If the complete response letter requires additional data and the applicant subsequently submits that data, the FDA nevertheless may ultimately decide that the BLA does not satisfy its criteria for approval. The FDA could also approve the BLA with a Risk Evaluation and Mitigation Strategies,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post-marketing testing. Such post-marketing testing may include Phase 4 clinical trials and surveillance to further assess and monitor the product’s safety and efficacy after approval. Regulatory approval of products for serious or life-threatening indications may require that participants in clinical studies be followed for long periods to determine the overall survival benefit of the drug.</w:t>
      </w:r>
    </w:p>
    <w:p>
      <w:pPr>
        <w:spacing w:after="0" w:line="17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If the FDA approves one of our product candidates, we will be required to comply with a number of post-approval regulatory requirements. We would be required to report, among other things, certain adverse reactions and production problems to the FDA, provide updated safety and efficacy information and comply with requirements concerning advertising and promotional labeling for any of our product candidates. Also, quality control and manufacturing procedures must continue to conform to cGMPs after approval, and the FDA periodically inspects manufacturing facilities to assess compliance with cGMPs, which imposes extensive procedural, substantive and record keeping requirements. If we seek to make certain changes to an approved product, such as certain manufacturing changes, we may need FDA review and approval before the change can be implemented.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9" w:name="page80"/>
    <w:bookmarkEnd w:id="79"/>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While physicians may use products for indications that have not been approved by the FDA, we may not label or promote the product for an indication that has not been approved. Securing FDA approval for new indications is similar to the process for approval of the original indication and requires, among other things, submitting data from adequate and well-controlled studies that demonstrate the product’s safety and efficacy in the new indication. Even if such studies are conducted, the FDA may not approve any change in a timely fashion, or at all.</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FDA may also require post-marketing testing, or Phase 4 testing, as well as risk minimization action plans and surveillance to monitor the effects of an approved product or place conditions or an approval that could otherwise restrict the distribution or use of the product.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Fast Track, Breakthrough Therapy and Priority Review Designations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FDA is authorized to designate certain products for expedited review if they are intended to address an unmet medical need in the treatment of a serious or life-threatening disease or condition, or in the event of an emergency. These programs are fast track designation, breakthrough therapy designation and priority review designation.</w:t>
      </w:r>
    </w:p>
    <w:p>
      <w:pPr>
        <w:spacing w:after="0" w:line="16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6"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Additionally,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Moreover,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Furthermore, the Secretary of Health and Human Services may authorize unapproved drugs and biologics to be marketed in the event an actual or potential emergency has been designated by the U.S. government. After an emergency has been designated, the FDA may issue an Emergency Use Authorization, or EUA, for the use of a specific product based on criteria established by the FDCA. An EUA is product specific and is subject to specific conditions and restrictions. Once the emergency underlying the EUA ends, then the EUA terminates.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i w:val="1"/>
          <w:iCs w:val="1"/>
          <w:color w:val="auto"/>
        </w:rPr>
        <w:t>Pediatric Rare Disease Designation and Priority Review Vouchers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or biologic for such disease or condition will be received from sales in the United States of such drug or biologic.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2024, with the potential for PRVs to be granted until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Post-Approval Regulation</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Once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7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After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4" w:lineRule="exact"/>
        <w:rPr>
          <w:sz w:val="20"/>
          <w:szCs w:val="20"/>
          <w:color w:val="auto"/>
        </w:rPr>
      </w:pPr>
    </w:p>
    <w:p>
      <w:pPr>
        <w:ind w:left="920" w:hanging="305"/>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complete withdrawal of the product from the market or product recalls;</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holds on post-approval clinical trials;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81" w:name="page82"/>
    <w:bookmarkEnd w:id="81"/>
    <w:p>
      <w:pPr>
        <w:ind w:left="920" w:hanging="305"/>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the FDA to approve pending BLAs or supplements to approved BLAs, or suspension or revocation of product license approvals;</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 or</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21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Orphan Drug Designation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Under the Orphan Drug Act, the FDA may grant orphan designation to a drug intended to treat a rare disease or condition affecting fewer than 200,000 individuals in the United States, or in other limited cases. Orphan drug designation (ODD) provides for seven years of market exclusivity, independent of patent protection, to the company with ODD that brings a particular product to market. In addition, companies developing orphan drugs are eligible for certain incentives, including tax credits for qualified clinical testing. In addition, a BLA for a product that has received orphan drug designation is not subject to a prescription drug user fee unless the application includes an indication other than the rare disease or condition for which the drug was designated.</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To gain exclusivity, if a product that has orphan drug designation subsequently receives the first FDA approval for the disease or condition for which it has such designation, the product is entitled to the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In addition, doctors may prescribe products for off-label uses and undermine our exclusivity. Orphan drug exclusivity could block the approval of one of our product candidates for seven years if a competitor obtains approval for the same active moiety for the same indication before we do, unless we are able to demonstrate that our product is clinically superior.</w:t>
      </w:r>
    </w:p>
    <w:p>
      <w:pPr>
        <w:spacing w:after="0" w:line="17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otherwise makes a major contribution to patient care.</w:t>
      </w:r>
    </w:p>
    <w:p>
      <w:pPr>
        <w:spacing w:after="0" w:line="18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may plan to pursue orphan drug designation and exclusivity for some of our product candidates in the United States, European Union, and other geographies of interest for specific products.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i w:val="1"/>
          <w:iCs w:val="1"/>
          <w:color w:val="auto"/>
        </w:rPr>
        <w:t>Biosimilars and Exclusivity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Patient Protection and Affordable Care Act, or ACA, which was signed into law on March 23, 2010, included a subtitle called the Biologics Price Competition and Innovation Act of 2009, or BPCIA. The BPCIA established a regulatory scheme authorizing the FDA to approve biosimilars and interchangeable biosimilars.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Under the BPCIA, an application for a biosimilar product may not be submitted to the FDA until 4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Outside the United States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In order to market any product outside of the United States, a company must also comply with numerous and varying regulatory requirements of other countries and jurisdictions regarding quality, safety and efficacy that govern,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and Marketing Authorization in the European Union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European Medicines Agency, or EMA, is the scientific agency of the European Union, or EU, that coordinates the evaluation and monitoring of new and approved medicinal products such as drugs and biologics. It is responsible for the scientific evaluation of applications for EU marketing authorizations, as well as the development of technical guidance and the provision of scientific advice to sponsors.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83" w:name="page84"/>
    <w:bookmarkEnd w:id="83"/>
    <w:p>
      <w:pPr>
        <w:ind w:firstLine="613"/>
        <w:spacing w:after="0" w:line="282" w:lineRule="auto"/>
        <w:rPr>
          <w:sz w:val="20"/>
          <w:szCs w:val="20"/>
          <w:color w:val="auto"/>
        </w:rPr>
      </w:pPr>
      <w:r>
        <w:rPr>
          <w:rFonts w:ascii="Times New Roman" w:cs="Times New Roman" w:eastAsia="Times New Roman" w:hAnsi="Times New Roman"/>
          <w:sz w:val="17"/>
          <w:szCs w:val="17"/>
          <w:color w:val="auto"/>
        </w:rPr>
        <w:t>The process regarding approval of medicinal products in the EU follows roughly the same lines as in the United States and likewise generally involves satisfactorily completing each of the following:</w:t>
      </w:r>
    </w:p>
    <w:p>
      <w:pPr>
        <w:spacing w:after="0" w:line="153" w:lineRule="exact"/>
        <w:rPr>
          <w:sz w:val="20"/>
          <w:szCs w:val="20"/>
          <w:color w:val="auto"/>
        </w:rPr>
      </w:pPr>
    </w:p>
    <w:p>
      <w:pPr>
        <w:ind w:left="920" w:hanging="305"/>
        <w:spacing w:after="0" w:line="282" w:lineRule="auto"/>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preclinical laboratory tests, animal studies and formulation studies all performed in accordance with the applicable EU Good Laboratory Practice regulations;</w:t>
      </w:r>
    </w:p>
    <w:p>
      <w:pPr>
        <w:spacing w:after="0" w:line="153"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relevant regulatory agencies in EU member states, or national authorities, of a clinical trial application, or CTA, for each clinical trial, which must be approved before human clinical trials may begin;</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clinical trials to establish the safety and efficacy of the product for each proposed indication;</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relevant national authorities of a Marketing Authorisation Application, or MAA, which includes the data supporting safety and efficacy as well as detailed information on the manufacture and composition of the product in clinical development and proposed labeling;</w:t>
      </w:r>
    </w:p>
    <w:p>
      <w:pPr>
        <w:spacing w:after="0" w:line="153"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inspection by the relevant national authorities of the manufacturing facility or facilities, including those of third parties, at which the product is produced to assess compliance with cGMP;</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audits of the non-clinical and clinical trial sites that generated the data in support of the MAA; and</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approval by the relevant national authority of the MAA before any commercial marketing, sale or shipment of the product.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Preclinical Studies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Clinical Trial Approval</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Requirements for the conduct of clinical trials in the EU including cGCP, are implemented in the currently Clinical Trials Directive 2001/20/EC and the GCP Directive 2005/28/EC. Pursuant to Directive 2001/20/EC and Directive 2005/28/EC, as amended, a system for the approval of clinical trials in the EU has been implemented through national legislation of the EU member states. Under this system, approval must be obtained from the competent national authority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On January 31, 2022, the Clinical Trials Regulation (EU) No. 536/2014 replaced the current Clinical Trials Directive 2001/20/EC. To ensure that the rules for clinical trials are identical throughout the EU, the Clinical Trials Regulation (EU) No. 536/2014 was passed as a regulation which is directly applicable in all EU member states.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84" w:name="page85"/>
    <w:bookmarkEnd w:id="84"/>
    <w:p>
      <w:pPr>
        <w:ind w:left="620"/>
        <w:spacing w:after="0"/>
        <w:rPr>
          <w:sz w:val="20"/>
          <w:szCs w:val="20"/>
          <w:color w:val="auto"/>
        </w:rPr>
      </w:pPr>
      <w:r>
        <w:rPr>
          <w:rFonts w:ascii="Times New Roman" w:cs="Times New Roman" w:eastAsia="Times New Roman" w:hAnsi="Times New Roman"/>
          <w:sz w:val="17"/>
          <w:szCs w:val="17"/>
          <w:color w:val="auto"/>
        </w:rPr>
        <w:t>Regulation (EU) No 536/2014 aims to simplify and streamline the approval of clinical trial in the EU. The main characteristics of the regulation include:</w:t>
      </w:r>
    </w:p>
    <w:p>
      <w:pPr>
        <w:spacing w:after="0" w:line="213" w:lineRule="exact"/>
        <w:rPr>
          <w:sz w:val="20"/>
          <w:szCs w:val="20"/>
          <w:color w:val="auto"/>
        </w:rPr>
      </w:pPr>
    </w:p>
    <w:p>
      <w:pPr>
        <w:ind w:left="920" w:hanging="305"/>
        <w:spacing w:after="0"/>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streamlined application procedure via a single entry point, known as the Clinical Trials Information System;</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single set of documents to be prepared and submitted for the application as well as simplified reporting procedures which will spare sponsors from submitting broadly identical information separately to various and different national authorities;</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harmonized procedure for the assessment of applications for clinical trials, which is divided in two parts;</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Strictly defined deadlines for the assessment of clinical trial application; and</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involvement of the ethics committees in the assessment procedure in accordance with the national law of the member state concerned but within the overall timelines defined by the Regulation (EU) No 536/2014.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Authorization</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Authorization to market a product in the member states of the EU proceeds under one of four procedures: a centralized procedure, a mutual recognition procedure, a decentralized procedure or a national procedure.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Centralized Procedure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based on the opinion of the EMA, is automatically valid in all EU member states. Sponsors may elect to file an MAA through the centralized procedures for other classes of products.</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centralized procedure is mandatory for certain types of products such as, medicines derived from biotechnology processes such as genetic engineering, advanced-therapy medicines such as gene-therapy or tissue engineered medicine, orphan medicines, and medicinal products containing a new active substance indicated for the treatment of HIV, AIDS, cancer, diabetes, neurodegenerative disorders, autoimmune and other immune dysfunctions, and viral diseases.</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centralized authorization procedure is optional for other medicinal products if they contain a new active substance, if the applicant shows that the medicinal product concerned constitutes a significant therapeutic, scientific or technical innovation, or that the granting of authorization is in the public interest of the EU.</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Administration Procedure</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Under the centralized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active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 member states, which in total can take more than 60 days. After a drug has been authorized and launched, it is a condition of maintaining the marketing authorization that all aspects relating to its quality, safety and efficacy must be kept under review.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i w:val="1"/>
          <w:iCs w:val="1"/>
          <w:color w:val="auto"/>
        </w:rPr>
        <w:t>Conditional Approval</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Authorization Under Exceptional Circumstances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per Article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Pediatric Studies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Prior to obtaining a marketing authorization in the EU, applicants have to demonstrate compliance with all measures included in an EMA-approved Pediatric Investigation Plan, or PIP, covering all subsets of the pediatric population, unless the EMA has granted (1) a product-specific waiver, (2) a class waiver, or</w:t>
      </w:r>
    </w:p>
    <w:p>
      <w:pPr>
        <w:spacing w:after="0" w:line="1" w:lineRule="exact"/>
        <w:rPr>
          <w:sz w:val="20"/>
          <w:szCs w:val="20"/>
          <w:color w:val="auto"/>
        </w:rPr>
      </w:pPr>
    </w:p>
    <w:p>
      <w:pPr>
        <w:jc w:val="both"/>
        <w:ind w:firstLine="2"/>
        <w:spacing w:after="0" w:line="252" w:lineRule="auto"/>
        <w:tabs>
          <w:tab w:leader="none" w:pos="27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180"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i w:val="1"/>
          <w:iCs w:val="1"/>
          <w:color w:val="auto"/>
        </w:rPr>
        <w:t>Period of Authorization and Renewals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 marketing authorization will be valid for five years in principle, and the marketing authorization may be renewed after five years on the basis of a re-evaluation of the risk-benefit balance by the EMA or by a national authority.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will be valid for an unlimited period, unless the European Commission or the national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Orphan Drug Designation and Exclusivity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European Commission can grant orphan medicinal product designation to products for which the sponsor can establish that it is intended for the diagnosis, prevention, or treatment of  (1) a life-threatening or chronically debilitating condition affecting not more than five in 10,000 people in the EU, or (2) a life threatening, seriously debilitating or serious and chronic condition in the EU and that without incentives it is unlikely that sales of the drug in the EU would generate a sufficient return to justify the necessary investment. In addition, the sponsor must establish that there is no other satisfactory method approved in the EU of diagnosing, preventing or treating the condition, or if such a method exists, the proposed orphan drug will be of significant benefit to patients.</w:t>
      </w:r>
    </w:p>
    <w:p>
      <w:pPr>
        <w:spacing w:after="0" w:line="174"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Orphan drug designation provides a number of benefits, including fee reductions, regulatory assistance, and the possibility to apply for a centralized EU marketing authorization (see “—Government Regulation and Product Approval—Regulation Outside the United States—Centralized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17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Data Protection</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EU legislation also provides for a system of regulatory data and market exclusivity. Upon receiving marketing authorization, new chemical entities approved on the basis of complete independent data package benefit from eight years of data exclusivity and an additional two years of market exclusivity. Data exclusivity prevents regulatory authorities in the EU from referencing the innovator’s data to assess a generic or biosimilar (abbreviated) application. During the additional two-year period of market exclusivity, a generic or biosimilar marketing authorization can be submitted, and the innovator’s data may be referenced, but no generic or biosimilar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“Item 4.B—Government Regulation and Product Approval—Regulation and Marketing Authorization in the European Union—Orphan Drug Designation and Exclusivity”). Depending upon the timing and duration of the EU marketing authorization process, products may be eligible for up to five years’ supplementary protection certificates, or SPCs. Such SPCs extend the rights under the basic patent for the drug.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Requirements After a Marketing Authorization Has Been Obtained</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we obtain authorization for a medicinal product in the EU, we will be required to comply with a range of requirements applicable to the manufacturing, marketing, promotion and sale of medicinal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Pharmacovigilance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will, for example, have to comply with the EU’s stringent pharmacovigilance or safety reporting rules, pursuant to which post-authorization studies and additional monitoring obligations can be imposed.</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Other requirements relate to, for example, the manufacturing of products and APIs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manufacturing of authorized drugs, for which a separate manufacturer’s license is mandatory, must be conducted in compliance with the EMA’s cGMP requirements and comparable requirements of other national authorities,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and Promotion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marketing and promotion of authorized drugs, including industry-sponsored continuing medical education and advertising directed toward the prescribers of drugs and/or the general public, are strictly regulated in the EU. The applicable regulations aim to ensure that information provided by holders of marketing authorizations regarding their products is truthful, balanced and accurately reflects the safety and efficacy claims authorized by the EMA or by the national authority of the authorizing member state. Failure to comply with these requirements can result in adverse publicity, warning letters, corrective advertising and potential civil and criminal penalties.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U.S. Healthcare Laws and Compliance Requirements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products distributed in the United States, we will also be subject to additional healthcare regulation and enforcement by the federal government and the states in which we conduct our business. Applicable federal and state healthcare laws and regulations include the following:</w:t>
      </w:r>
    </w:p>
    <w:p>
      <w:pPr>
        <w:spacing w:after="0" w:line="153" w:lineRule="exact"/>
        <w:rPr>
          <w:sz w:val="20"/>
          <w:szCs w:val="20"/>
          <w:color w:val="auto"/>
        </w:rPr>
      </w:pPr>
    </w:p>
    <w:p>
      <w:pPr>
        <w:jc w:val="both"/>
        <w:ind w:left="920" w:hanging="305"/>
        <w:spacing w:after="0" w:line="257" w:lineRule="auto"/>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Medicaid, or other governmental programs. A person or entity does not need to have actual knowledge of the federal anti-kickback statute or specific intent to violate it to have committed a violation; in addition, items or services resulting from a violation of the federal anti-kickback statute may constitute a false or fraudulent claim for purposes of the False Claims 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8" w:name="page89"/>
    <w:bookmarkEnd w:id="88"/>
    <w:p>
      <w:pPr>
        <w:jc w:val="both"/>
        <w:ind w:left="920" w:hanging="305"/>
        <w:spacing w:after="0" w:line="261"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Ethics in Patient Referrals Act, commonly referred to as the Stark Law, and its corresponding regulations, prohibit physicians from referring patients for designated health services (including outpatient drugs) reimbursed under the Medicare or Medicaid programs to entities with which the physicians or their immediate family members have a financial relationship or an ownership interest, subject to narrow regulatory exceptions, and prohibits those entities from submitting claims to Medicare or Medicaid for payment of items or services provided to a referred beneficiary;</w:t>
      </w:r>
    </w:p>
    <w:p>
      <w:pPr>
        <w:spacing w:after="0" w:line="170" w:lineRule="exact"/>
        <w:rPr>
          <w:rFonts w:ascii="Times New Roman" w:cs="Times New Roman" w:eastAsia="Times New Roman" w:hAnsi="Times New Roman"/>
          <w:sz w:val="17"/>
          <w:szCs w:val="17"/>
          <w:color w:val="auto"/>
        </w:rPr>
      </w:pPr>
    </w:p>
    <w:p>
      <w:pPr>
        <w:jc w:val="both"/>
        <w:ind w:left="920" w:hanging="305"/>
        <w:spacing w:after="0" w:line="266"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6" w:lineRule="exact"/>
        <w:rPr>
          <w:rFonts w:ascii="Times New Roman" w:cs="Times New Roman" w:eastAsia="Times New Roman" w:hAnsi="Times New Roman"/>
          <w:sz w:val="17"/>
          <w:szCs w:val="17"/>
          <w:color w:val="auto"/>
        </w:rPr>
      </w:pPr>
    </w:p>
    <w:p>
      <w:pPr>
        <w:jc w:val="both"/>
        <w:ind w:left="920" w:hanging="305"/>
        <w:spacing w:after="0" w:line="261"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 Portability and Accountability Act of 1996,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 This statute also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153" w:lineRule="exact"/>
        <w:rPr>
          <w:rFonts w:ascii="Times New Roman" w:cs="Times New Roman" w:eastAsia="Times New Roman" w:hAnsi="Times New Roman"/>
          <w:sz w:val="17"/>
          <w:szCs w:val="17"/>
          <w:color w:val="auto"/>
        </w:rPr>
      </w:pPr>
    </w:p>
    <w:p>
      <w:pPr>
        <w:jc w:val="both"/>
        <w:ind w:left="920" w:hanging="305"/>
        <w:spacing w:after="0" w:line="261"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 and</w:t>
      </w:r>
    </w:p>
    <w:p>
      <w:pPr>
        <w:spacing w:after="0" w:line="170" w:lineRule="exact"/>
        <w:rPr>
          <w:rFonts w:ascii="Times New Roman" w:cs="Times New Roman" w:eastAsia="Times New Roman" w:hAnsi="Times New Roman"/>
          <w:sz w:val="17"/>
          <w:szCs w:val="17"/>
          <w:color w:val="auto"/>
        </w:rPr>
      </w:pPr>
    </w:p>
    <w:p>
      <w:pPr>
        <w:jc w:val="both"/>
        <w:ind w:left="920" w:hanging="305"/>
        <w:spacing w:after="0" w:line="261"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w:t>
      </w:r>
    </w:p>
    <w:p>
      <w:pPr>
        <w:spacing w:after="0" w:line="171"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future business activities could be subject to challenge under one or more of such laws. 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i w:val="1"/>
          <w:iCs w:val="1"/>
          <w:color w:val="auto"/>
        </w:rPr>
        <w:t>Reimbursement</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Sales of our product candidates in the United States may depend, in part, on the extent to which the costs of the product candidates may be covered by third-party payers, such as government health programs, commercial insurance and managed health care organizations. These third-party payers are increasingly challenging the prices charged for medical products and services. Additionally, the containment of health 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payers do not consider our product candidates to be cost-effective compared to other available therapies, they may not cover our product candidates after approval as a benefit under their plans or, if they do, the level of payment may not be sufficient to allow us to sell our product candidates on a profitable basis.</w:t>
      </w:r>
    </w:p>
    <w:p>
      <w:pPr>
        <w:spacing w:after="0" w:line="180"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payer’s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174"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7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Healthcare Reform</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the United States, there have been and continue to be a number of significant legislative initiatives to contain healthcare costs. The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90" w:name="page91"/>
    <w:bookmarkEnd w:id="90"/>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These changes included aggregate reductions to Medicare payments to providers of 2% per fiscal year, effective April 1, 2013 and, due to subsequent legislative amendments to the statute, will stay in effect through 2027, unless additional Congressional action is taken; however, pursuant to the CARES Act, and subsequent legislation, these reductions are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74"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Most recently, on August 16, 2022, the Inflation Reduction Act of 2022, or the IRA, was signed into law. Among other things, the IRA directs the Department of Health and Human Services, or the HHS to negotiate the price of certain high-expenditure, single-source drugs and biologics covered under Medicare. The negotiated prices, which will first become effective in 2026, will be capped at a statutory ceiling price representing a significant discount from average prices to wholesalers and direct purchasers. The law will also, beginning in 2023, penalize drug manufacturers that increase prices of Medicare Part B and Part D drugs at a rate greater than the rate of inflation. Further, the IRA eliminates the “donut hole” under the Medicare Part D program beginning in 2025 by significantly lowering the beneficiary maximum out-of-pocket cost and creating a new manufacturer discount program. The IRA permits the Secretary of the HHS, to implement many of these provisions through guidance, as opposed to regulation, for the initial years. HHS has and will continue to issue and update guidance as these programs are implemented, although the IRA may be subject to legal challenges. It is currently unclear how the IRA will be implemented but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18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Although a number of these, and other proposed measures may require authorization through additional legislation to become effective, Congress has indicated that it will continue to seek new legislative measures to control drug costs.</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91" w:name="page92"/>
    <w:bookmarkEnd w:id="91"/>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7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of the date of this prospectus, we have 10 employees and full-time consultants, including our executive officers, providing management and financial services, and general administrative responsibilities. We believe that we maintain a satisfactory working relationship with our employees, and we have not experienced any significant labor disputes or any difficulty in recruiting staff for our operations. None of our employees are represented by a labor union.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executive offices are located in approximately 12,030 square feet of leased office and laboratory space at 21 Business Park Drive, Branford, Connecticut 06405. The lease expires in 2027, subject to our option to extend the lease for two additional five-year terms. We currently pay $14,035 per month under the lease, which will increase to $14,385 in 2024, plus our pro rata share of certain operating expenses of the property.</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also lease approximately 1,093 square feet of additional laboratory space, which is located at 93 Shennecossett Road, Groton, Connecticut 06340. The lease expires in April 2024, subject to our option to extend the lease for an additional one-year term. We pay $7,235 per month under the lease plus our pro rata share of certain operating expenses of the property.</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also lease approximately 1,868 square feet of office and laboratory space, which is located at 500 Cartier Boulevard, Laval, Quebec, Canada. We pay $6,515 per month under the lease. The lease expires in April 2024, subject to our option to extend the lease for an additional one-year term.</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our facilities are adequate to meet our current needs and that additional space can be obtained on commercially reasonable terms as needed.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names, ages and positions of our current executive officers and directors.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88"/>
        </w:trPr>
        <w:tc>
          <w:tcPr>
            <w:tcW w:w="40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rPr>
              <w:t>Francisco D. Salva</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53</w:t>
            </w:r>
          </w:p>
        </w:tc>
        <w:tc>
          <w:tcPr>
            <w:tcW w:w="220" w:type="dxa"/>
            <w:vAlign w:val="bottom"/>
          </w:tcPr>
          <w:p>
            <w:pPr>
              <w:spacing w:after="0"/>
              <w:rPr>
                <w:sz w:val="16"/>
                <w:szCs w:val="16"/>
                <w:color w:val="auto"/>
              </w:rPr>
            </w:pPr>
          </w:p>
        </w:tc>
        <w:tc>
          <w:tcPr>
            <w:tcW w:w="56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rPr>
              <w:t>President, Chief Executive Officer and Director</w:t>
            </w:r>
          </w:p>
        </w:tc>
      </w:tr>
      <w:tr>
        <w:trPr>
          <w:trHeight w:val="204"/>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Norman Staskey</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4"/>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Travis Whitfill</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 and Director</w:t>
            </w:r>
          </w:p>
        </w:tc>
      </w:tr>
      <w:tr>
        <w:trPr>
          <w:trHeight w:val="204"/>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McClary, MD</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4"/>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Barbara Ryan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22"/>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Schroer</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about our Executive Officers and Directors</w:t>
      </w:r>
    </w:p>
    <w:p>
      <w:pPr>
        <w:spacing w:after="0" w:line="21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Francisco D. Salva </w:t>
      </w:r>
      <w:r>
        <w:rPr>
          <w:rFonts w:ascii="Times New Roman" w:cs="Times New Roman" w:eastAsia="Times New Roman" w:hAnsi="Times New Roman"/>
          <w:sz w:val="17"/>
          <w:szCs w:val="17"/>
          <w:color w:val="auto"/>
        </w:rPr>
        <w:t>has served as our president and chief executive officer and a member of our Board since April 2021. Mr. Salva has over 15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in senior leadership roles in the biotechnology and pharmaceutical industries. Mr. Salva served as president and chief executive officer of Complexa, Inc., an inflammation and fibrosis focused biopharmaceutical company, from May 2018 to August 2020. From February 2011 to November 2016, Mr. Salva served as a co-founder and vice president of operations of Acerta Pharma B.V., Inc, a cancer and autoimmune focused biopharmaceutical company. Mr. Salva serves as a director of Vincerx Pharma, Inc. (Nasdaq: VINC). Prior to his operating roles, Mr. Salva served in various senior positions in the venture capital and investment banking industries focusing on healthcare, biotechnology and pharmaceuticals companies. Mr. Salva received a B.A. from Brown University and an MSc in economics and philosophy from the London School of Economics. We believe that Mr. Salva’s experience as a senior executive, venture capitalist and investment banker in the biotech and pharmaceutical industries qualifies him to serve on our Board.</w:t>
      </w:r>
    </w:p>
    <w:p>
      <w:pPr>
        <w:spacing w:after="0" w:line="176"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Norman Staskey </w:t>
      </w:r>
      <w:r>
        <w:rPr>
          <w:rFonts w:ascii="Times New Roman" w:cs="Times New Roman" w:eastAsia="Times New Roman" w:hAnsi="Times New Roman"/>
          <w:sz w:val="17"/>
          <w:szCs w:val="17"/>
          <w:color w:val="auto"/>
        </w:rPr>
        <w:t>has served as our chief financial officer since October 2022. Since May 15, 2021, Mr. Staskey has also served as a senior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Danforth Advisors, a national consulting firm providing financial, accounting and reporting services to the life science industry. From September 2014 to May 2021, Mr. Staskey was employed by EY (formally Ernst &amp; Young), most recently as a managing director in EY’s Financial Accounting and Advisory services practice.</w:t>
      </w:r>
    </w:p>
    <w:p>
      <w:pPr>
        <w:spacing w:after="0" w:line="15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Travis Whitfill </w:t>
      </w:r>
      <w:r>
        <w:rPr>
          <w:rFonts w:ascii="Times New Roman" w:cs="Times New Roman" w:eastAsia="Times New Roman" w:hAnsi="Times New Roman"/>
          <w:sz w:val="17"/>
          <w:szCs w:val="17"/>
          <w:color w:val="auto"/>
        </w:rPr>
        <w:t>is a co-founder of Azitra and has served on our Board since inception. Mr. Whitfill has served in various roles at Azitra, including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scientific officer from January 2014 to September 2019 and director of advanced technology since September 2019, and as chief operating officer since June 2023. Mr. Whitfill served as a partner at Bios Equity Partners, LP, a biotechnology-focused venture capital firm, from October 2015 to June 2023 and a senior analyst at Bios Research from September 2014 to June 2023. He has also served as an associate research scientist and assistant professor adjunct at Yale University from July 2016 to March 2022 and since March 2022, respectively, with appointments in the Departments of Pediatrics and Emergency Medicine. Mr. Whitfill has served on the board of directors of IN8Bio, Inc. (Nasdaq: INAB) since March 2018, 410 Medical from September 2017 to July 2019 and SIRPant Immunotherapeutics from September 2021 to June 2023. Mr. Whitfill has led numerous grant-funded projects, holds several patents and has co-authored over 60 publications. Mr. Whitfill received a B.S. from Dallas Baptist University, an MPH from Yale University and an MPhil from University College London. We believe that Mr. Whitfill’s strong background in entrepreneurship and in the biotech and healthcare industries qualifies him to serve on our Board.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93" w:name="page94"/>
    <w:bookmarkEnd w:id="93"/>
    <w:p>
      <w:pPr>
        <w:jc w:val="both"/>
        <w:ind w:firstLine="613"/>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McClary, MD </w:t>
      </w:r>
      <w:r>
        <w:rPr>
          <w:rFonts w:ascii="Times New Roman" w:cs="Times New Roman" w:eastAsia="Times New Roman" w:hAnsi="Times New Roman"/>
          <w:sz w:val="17"/>
          <w:szCs w:val="17"/>
          <w:color w:val="auto"/>
        </w:rPr>
        <w:t>has served as a member of our Board since March 2019. Dr. McClary is the founding general partner at KdT Ventures LP,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biotechnology focused venture firm founded in 2017. At KdT, Dr. McClary invests in companies leveraging the intersection of the physical sciences and engineering, both computational and biochemical. In addition to leading KdT’s investment in Azitra, Dr. McClary has also led KdT’s investments in PathAI, Dyno Therapeutics, Solugen, Terray Therapeutics, STRM Therapeutics, Elegen, and Checkerspot. Prior to KdT, Dr. McClary served on faculty as a Pathologist at Stanford University and was an early employee at Included Health (formerly known as Grand Rounds), where he was the physician lead for the Data Science and Analytics team. Dr. McClary received his M.D. from Tulane University, where he has held prior academic appointments and was an HHMI/NIH Fellow, and his Sc.B. in Biochemistry and Molecular Biology from Brown University. We believe that Dr. McClary’s medical and scientific expertise as a physician-scientist coupled with his experience working in the venture capital industry qualifies him to serve on our Board.</w:t>
      </w:r>
    </w:p>
    <w:p>
      <w:pPr>
        <w:spacing w:after="0" w:line="176"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Barbara Ryan </w:t>
      </w:r>
      <w:r>
        <w:rPr>
          <w:rFonts w:ascii="Times New Roman" w:cs="Times New Roman" w:eastAsia="Times New Roman" w:hAnsi="Times New Roman"/>
          <w:sz w:val="17"/>
          <w:szCs w:val="17"/>
          <w:color w:val="auto"/>
        </w:rPr>
        <w:t>has served as a member of our Board since June 2023. Ms. Ryan founded Barbara Ryan Advisors, a capital markets and communications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firm, in 2012 following a more than 30-year career on Wall Street as a sell-side research analyst covering the U.S. pharmaceutical industry. Ms. Ryan has deep experience in equity and debt financings, M&amp;A, valuation, SEC reporting, financial analysis and corporate strategy across a broad range of life sciences companies. Ms. Ryan worked on several of the industry’s largest M&amp;A transactions, including Shire’s defense versus a hostile takeover attempt by Abbvie, Shire’s takeover of Baxalta, Allergan’s defense against Valeant and Perrigo’s defense versus Mylan Ms. Ryan served as an executive team member and on the disclosure committee for Radius Health from January 2014 to December 2017. Previously, Ms. Ryan was a managing director at Deutsche Bank/Alex Brown and head of the company’s pharmaceutical research team for 19 years and began her research career covering the pharmaceutical industry at Bear Stearns in 1982. Ms. Ryan currently serves as a director on the board of MiNK Therapeutics, Inc. (Nasdaq: INKT), where she chairs the audit committee, INVO Bioscience, Inc, (Nasdaq: INVO), Invidior, PLC (LON:INDV) and The Red Door Community (formerly Gilda’s Club NYC), a non-profit organization. Ms. Ryan is the founder of Fabulous Pharma Females, a non-profit whose mission is to advance women in the biopharma industry, is a member of the editorial advisory board of Pharmaceutical Executive Magazine, a faculty member of the GLG Institute and a member of the Prix Galien executive advisory board. We believe that Ms. Ryan is qualified to serve as a member of our Board because of her experience and knowledge of corporate finance, mergers and acquisitions, corporate governance, as well as other operational, financial and accounting matters gained as a past and present executive officer and/or director of other public and private companies.</w:t>
      </w:r>
    </w:p>
    <w:p>
      <w:pPr>
        <w:spacing w:after="0" w:line="180"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Schroer </w:t>
      </w:r>
      <w:r>
        <w:rPr>
          <w:rFonts w:ascii="Times New Roman" w:cs="Times New Roman" w:eastAsia="Times New Roman" w:hAnsi="Times New Roman"/>
          <w:sz w:val="17"/>
          <w:szCs w:val="17"/>
          <w:color w:val="auto"/>
        </w:rPr>
        <w:t>has served as a member of our Board since June 2023. Mr. Schroer has served as chief financial officer of Alumis, Inc., a privately held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biotechnology company developing precision immunology therapies, since March 2022. Mr. Schroer was chief financial officer of Arsenal Biosciences, Inc., a privately held biotechnology company developing programmable cell therapy for solid tumors, from February 2021 to February 2022. Mr. Schroer was chief financial officer of Translate Bio, Inc., a biotechnology company developing mRNA therapeutics and vaccines acquired by Sanofi in September 2021 for $3.2 billion, from May 2018 to December 2020. Previously, Mr. Schroer was Sector Head – Global Health Care for Allianz Global Investors, an international asset management firm, from January 2014 to May 2018. Mr. Schroer received his B.S. and M.B.A from the University of Wisconsin – Madison. We believe that Mr. Schroer’s strong background holding leadership positions in the biotechnology industry and almost 30 years of investing in the life sciences sector qualifies him to serve on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no family relationships among any of our executive officers or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To the best of our knowledge, none of our executive officers or directors were involved in any legal proceedings described in Item 401(f) of Regulation S-K in the past ten years.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Board may establish the authorized number of directors from time to time by resolution. Our Board consists of five members, three of whom qualify as independent under the listing rules of the NYSE American. Neither Mr. Salva nor Mr. Whitfill are considered to be independent due to their roles as executive officers of the Company. However, our Board has determined that Dr. McClary, Ms. Ryan and Mr. Schroer do not have a relationship that would interfere with the exercise of independent judgment in carrying out the responsibilities of a director and that he or she is “independent” as that term is defined under the applicable rules and regulations of the SEC and the listing requirements and rules of the NYSE American. In making this determination, our Board considered the current and prior relationships that each of Dr. McClary, Ms. Ryan and Mr. Schroer has with our Company and all other facts and circumstances our Board deemed relevant in determining their independence, including their beneficial ownership of our capital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Board in Risk Oversight</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One of the key functions of our Board is informed oversight of our risk management process. Our Board does not have a standing risk management committee, but rather intends to administer this oversight function directly through the board of directors as a whole, as well as through various standing committees of our Board that will address risks inherent in their respective areas of oversight. In particular, our Board will be responsible for monitoring and assessing strategic risk exposure and our audit committee will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Board has established an audit committee, compensation committee and nominating and corporate governance committee, each of which operates pursuant to a committee charter. Our Board may establish other committees to facilitate the management of our business. The composition and functions of each committee are described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audit committee consists of Dr. McClary, Ms. Ryan and Mr. Schroer, with Mr. Schroer serving as chairperson. Our Board has determined that each member meets the independence requirements of the Sarbanes-Oxley Act, Rule 10A-3 under the Exchange Act and the applicable listing standards of the NYSE American. Each member of our audit committee can read and understand fundamental financial statements in accordance with the SEC and NYSE American audit committee requirements. In arriving at this determination, the Board has examined each audit committee member’s scope of experience and the nature of their prior and/or current employment.</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Board has determined that Mr. Schroer qualifies as an audit committee financial expert within the meaning of SEC regulations and meets the financial sophistication requirements of the NYSE American listing rules. Both our independent registered public accounting firm and management periodically meet with our audit committee.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functions of this committee include, among other things:</w:t>
      </w:r>
    </w:p>
    <w:p>
      <w:pPr>
        <w:spacing w:after="0" w:line="213" w:lineRule="exact"/>
        <w:rPr>
          <w:sz w:val="20"/>
          <w:szCs w:val="20"/>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a qualified firm to serve as the independent registered public accounting firm to audit our financial statements;</w:t>
      </w:r>
    </w:p>
    <w:p>
      <w:pPr>
        <w:spacing w:after="0" w:line="26"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 the scope and results of the audit with the independent registered public accounting firm, and review, with management and the independent registered public accounting firm, our interim and year-end operating results;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our independent auditors to perform audit services and any permissible non-audit services;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procedures for employees to submit concerns anonymously about questionable accounting or audit matters;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our policies on risk assessment and risk management;</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related-party transactions;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on an annual basis the performance of the audit committee and the audit committee charter.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95" w:name="page96"/>
    <w:bookmarkEnd w:id="95"/>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believe that the composition and functioning of our audit committee complies with all applicable requirements of the Sarbanes-Oxley Act, and all applicable SEC and NYSE American rules and regulations. We intend to comply with future requirements to the extent they become applicable to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compensation committee consists of Ms. Ryan and Mr. Schroer, with Ms. Ryan serving as chairperson. Each of the members is a non-employee director, as defined in Rule 16b-3 promulgated under the Exchange Act. Our Board has determined that each member is “independent” as defined under the applicable listing standards of the NYSE American, including the standards specific to members of a compensation committee. The functions of this committee include, among other things:</w:t>
      </w:r>
    </w:p>
    <w:p>
      <w:pPr>
        <w:spacing w:after="0" w:line="171" w:lineRule="exact"/>
        <w:rPr>
          <w:sz w:val="20"/>
          <w:szCs w:val="20"/>
          <w:color w:val="auto"/>
        </w:rPr>
      </w:pPr>
    </w:p>
    <w:p>
      <w:pPr>
        <w:ind w:left="1220" w:hanging="605"/>
        <w:spacing w:after="0" w:line="261" w:lineRule="auto"/>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modifying and approving (or if it deems appropriate, making recommendations to the full Board regarding) our overall compensation strategy and policies;</w:t>
      </w:r>
    </w:p>
    <w:p>
      <w:pPr>
        <w:ind w:left="1220" w:hanging="605"/>
        <w:spacing w:after="0" w:line="250" w:lineRule="auto"/>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modifying and approving (or if it deems appropriate, making recommendations to the full Board regarding) the compensation and other terms of employment of our executive officers;</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if it deems it appropriate, making recommendations to the full Board regarding) the equity incentive plans, compensation plans and similar programs advisable for us, as well as modifying, amending or terminating existing plans and programs;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equity incentive plans;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policies with respect to equity compensation arrangements;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on an annual basis the performance of the compensation committee and the compensation committee charter.</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believe that the composition and functioning of our compensation committee complies with all applicable requirements of the Sarbanes-Oxley Act, and all applicable SEC and the NYSE American rules and regulations. We intend to comply with future requirements to the extent they become applicable to us.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Dr. McClary and Ms. Ryan, with Dr. McClary serving as chairperson. The composition of our nominating and corporate governance committee meets the requirements for independence under the NYSE American listing standards and SEC rules and regulations. The functions of this committee include, among other things:</w:t>
      </w:r>
    </w:p>
    <w:p>
      <w:pPr>
        <w:spacing w:after="0" w:line="167" w:lineRule="exact"/>
        <w:rPr>
          <w:sz w:val="20"/>
          <w:szCs w:val="20"/>
          <w:color w:val="auto"/>
        </w:rPr>
      </w:pPr>
    </w:p>
    <w:p>
      <w:pPr>
        <w:ind w:left="1220" w:hanging="605"/>
        <w:spacing w:after="0" w:line="261" w:lineRule="auto"/>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evaluating and making recommendations to our board of directors regarding nominees for election to our board of directors and its committees;</w:t>
      </w: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our board of directors and of individual directors;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and making recommendations to our board of directors regarding the composition of our board of directors and its committees;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developments in corporate governance practices;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adequacy of our corporate governance practices and reporting;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making recommendations to our board of directors regarding corporate governance guidelines and matters.</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of our committees operates under a written charter that satisfies the applicable listing requirements and rules of the NYSE American.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adopted a Code of Ethics applicable to all of our employees, executive officers and directors. The Code of Ethics is available on our website at www.azitrainc.com. The audit committee of our Board is responsible for overseeing the Code of Ethics and must approve any waivers of the Code of Ethics for employees, executive officers and directors. In addition, we have posted on our website all disclosures that are required by law or the listing standards of the applicable stock exchange concerning any amendments to, or waivers from, any provision of the Code of Ethics.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Officer Compensation</w:t>
      </w:r>
    </w:p>
    <w:p>
      <w:pPr>
        <w:spacing w:after="0" w:line="217"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table sets forth the compensation awarded to or earned by our chief executive officer and our two other highest paid executive officers for the years ended December 31, 2023 and 2022. In reviewing the table, please note that:</w:t>
      </w:r>
    </w:p>
    <w:p>
      <w:pPr>
        <w:spacing w:after="0" w:line="153" w:lineRule="exact"/>
        <w:rPr>
          <w:sz w:val="20"/>
          <w:szCs w:val="20"/>
          <w:color w:val="auto"/>
        </w:rPr>
      </w:pPr>
    </w:p>
    <w:p>
      <w:pPr>
        <w:ind w:left="1220" w:hanging="605"/>
        <w:spacing w:after="0"/>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Francisco D. Salva was appointed to serve as our president and chief executive officer in April 2021;</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Norman Staskey was appointed to serve as our chief financial officer in October 2022;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Travis Whitfill was appointed to serve as our chief operating officer in June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Salary ($)</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Bonus ($)</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Awards $ (1)</w:t>
            </w:r>
          </w:p>
        </w:tc>
        <w:tc>
          <w:tcPr>
            <w:tcW w:w="140" w:type="dxa"/>
            <w:vAlign w:val="bottom"/>
          </w:tcPr>
          <w:p>
            <w:pPr>
              <w:spacing w:after="0"/>
              <w:rPr>
                <w:sz w:val="20"/>
                <w:szCs w:val="20"/>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4"/>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Francisco D. Salva,</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7,030</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427,030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Pres. and CEO</w:t>
            </w: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403,846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202</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404,048</w:t>
            </w:r>
          </w:p>
        </w:tc>
      </w:tr>
      <w:tr>
        <w:trPr>
          <w:trHeight w:val="188"/>
        </w:trPr>
        <w:tc>
          <w:tcPr>
            <w:tcW w:w="338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Norman Staskey,</w:t>
            </w:r>
          </w:p>
        </w:tc>
        <w:tc>
          <w:tcPr>
            <w:tcW w:w="1360" w:type="dxa"/>
            <w:vAlign w:val="bottom"/>
            <w:gridSpan w:val="3"/>
          </w:tcPr>
          <w:p>
            <w:pPr>
              <w:jc w:val="right"/>
              <w:ind w:right="340"/>
              <w:spacing w:after="0" w:line="188" w:lineRule="exact"/>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720"/>
              <w:spacing w:after="0" w:line="188"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7"/>
                <w:szCs w:val="17"/>
                <w:color w:val="auto"/>
              </w:rPr>
              <w:t>20,700</w:t>
            </w:r>
          </w:p>
        </w:tc>
        <w:tc>
          <w:tcPr>
            <w:tcW w:w="1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7"/>
                <w:szCs w:val="17"/>
                <w:color w:val="auto"/>
              </w:rPr>
              <w:t>314,025</w:t>
            </w:r>
          </w:p>
        </w:tc>
        <w:tc>
          <w:tcPr>
            <w:tcW w:w="200" w:type="dxa"/>
            <w:vAlign w:val="bottom"/>
          </w:tcPr>
          <w:p>
            <w:pPr>
              <w:jc w:val="right"/>
              <w:ind w:right="15"/>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334,725</w:t>
            </w:r>
          </w:p>
        </w:tc>
      </w:tr>
      <w:tr>
        <w:trPr>
          <w:trHeight w:val="221"/>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CFO</w:t>
            </w: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63,200</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63,200</w:t>
            </w:r>
          </w:p>
        </w:tc>
      </w:tr>
      <w:tr>
        <w:trPr>
          <w:trHeight w:val="20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Travis Whitfill,</w:t>
            </w: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158,846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20,700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2,767</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182,313</w:t>
            </w:r>
          </w:p>
        </w:tc>
      </w:tr>
      <w:tr>
        <w:trPr>
          <w:trHeight w:val="20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COO</w:t>
            </w: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10,050</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10,050</w:t>
            </w:r>
          </w:p>
        </w:tc>
      </w:tr>
    </w:tbl>
    <w:p>
      <w:pPr>
        <w:spacing w:after="0" w:line="213" w:lineRule="exact"/>
        <w:rPr>
          <w:sz w:val="20"/>
          <w:szCs w:val="20"/>
          <w:color w:val="auto"/>
        </w:rPr>
      </w:pPr>
    </w:p>
    <w:p>
      <w:pPr>
        <w:jc w:val="both"/>
        <w:ind w:left="300" w:hanging="298"/>
        <w:spacing w:after="0" w:line="266"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dollar amounts in the Option Awards columns above reflect the values of options as of the grant date for the years ended December 31, 2023 and 2022, in accordance with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(“ASC 718”) and, therefore, do not necessarily reflect actual benefits received by the individuals. Assumptions used in the calculation of these amounts are included in Note 11 to our audited financial statements.</w:t>
      </w:r>
    </w:p>
    <w:p>
      <w:pPr>
        <w:spacing w:after="0" w:line="166" w:lineRule="exact"/>
        <w:rPr>
          <w:rFonts w:ascii="Times New Roman" w:cs="Times New Roman" w:eastAsia="Times New Roman" w:hAnsi="Times New Roman"/>
          <w:sz w:val="17"/>
          <w:szCs w:val="17"/>
          <w:color w:val="auto"/>
        </w:rPr>
      </w:pPr>
    </w:p>
    <w:p>
      <w:pPr>
        <w:jc w:val="both"/>
        <w:ind w:left="300" w:hanging="298"/>
        <w:spacing w:after="0" w:line="266"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includes commuter benefits, vacation payouts, relocation reimbursements, 401K match contributions, and life insurance premiums, plus consulting fees paid for Mr. Staskey’s services as chief financial officer and consulting fees paid to Mr. Whitfill prior to his appointment as chief operating officer.</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Narrative Disclosure to Officer Compensation Table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All of our current named executive officers are at-will employees and set forth below is a summary of the current terms of their compensatory arrangements.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Francisco D. Salva</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have entered into an executive employment agreement dated April 22, 2021 with Mr. Salva, pursuant to which Mr. Salva serves as our president and chief executive officer. We have agreed to pay Mr. Salva an annual base salary of $420,000 under the agreement. Mr. Salva is also eligible to receive a bonus of up to 35% of his base salary based on performance parameters set by our Board. Mr. Salva’s executive employment agreement entitles him to participate in health insurance and other benefits, at our expense, made available to other executive officers. In the event of Mr. Salva’s termination by us without cause or his resignation for good reason, as such terms are defined in the executive employment agreement, Mr. Salva will be entitled to the continuation of his base salary and health insurance coverage for a period of 12 months and a prorated amount of his annual bonus for the year in which the termination occurred, subject to the achievement of applicable performance targets. Mr. Salva’s executive employment agreement is an “at will” agreement subject to termination by either party at any time and for any reason, subject to certain notice requirements. The agreement contains customary provisions relating to intellectual property assignment, confidentiality and indemnification.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97" w:name="page98"/>
    <w:bookmarkEnd w:id="97"/>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connection with our execution of the executive employment agreement, we granted to Mr. Salva an option to purchase up to 465,760 shares of our common stock at an exercise price of $1.56 per share under the 2016 Plan. The options vest and become exercisable as follows: 80% of the options, or options to purchase 372,608 shares of our common stock, are subject to time-based vesting, with options to purchase 93,152 shares (25%) vesting on the first anniversary of the grant and options to purchase 279,456 shares (75%) vesting in equal monthly installments over the 36 months following the first anniversary; 20% of the options, or options to purchase 13,120 shares of our common stock, shall vest upon patient dosing in the first in-human clinical trial of ATR-12 or a substitute live biotherapeutic product, as determined by our Board in its reasonable discretion. The options expire on the ten-year anniversary of the date of grant.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Norman Staskey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Mr. Staskey serves as our chief financial officer pursuant to a Consulting Agreement dated October 12, 2002 between us and Danforth Advisors, LLC. Pursuant to the Consulting Agreement, Danforth Advisors provides to us certain strategic and financial advice and support services, including Mr. Staskey’s services as chief financial officer, at hourly rates between $135 and $575 per hour, depending on the level of service and the seniority of the service provider. The Consulting Agreement is subject to termination by either party on 30 days written notice and contains customary provisions relating to intellectual property assignment, confidentiality and indemnification.</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On September 8, 2023, we granted to Mr. Staskey an option to purchase up to 10,000 shares of our common stock at an exercise price of $2.07 per share under the 2016 Plan. The options are subject to time-based vesting, with options to purchase 2,500 shares (25%) vesting on the first anniversary of the grant and options to purchase 7,500 shares (75%) vesting in equal monthly installments over the 36 months following the first anniversary; The options expire on the ten-year anniversary of the date of grant.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Travis Whitfill</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have entered into an executive employment agreement dated July 5, 2023 with Mr. Whitfill, pursuant to which Mr. Whitfill serves as our chief operating officer. We have agreed to pay Mr. Whitfill an annual base salary of $350,000 under the agreement. Mr. Whitfill is also eligible to receive a bonus of up to 30% of his base salary based on performance parameters set by our Board. Mr. Whitfill’s executive employment agreement entitles him to participate in health insurance and other benefits, at our expense, made available to other executive officers. In the event of Mr. Whitfill’s termination by us for any reason other than cause or his incapacity, as such terms are defined in the executive employment agreement, Mr. Whitfill will be entitled to the continuation of his base salary for a period of six months and, if unpaid at the time of termination, his annual bonus for the year prior to the year in which the termination occurred. Mr. Whitfill’s executive employment agreement is an “at will” agreement subject to termination by either party at any time and for any reason, subject to certain notice requirements. The agreement contains customary provisions relating to intellectual property assignment, confidentiality and indemnification.</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On September 8, 2023, we granted to Mr. Whitfill an option to purchase up to 10,000 shares of our common stock at an exercise price of $2.07 per share under the 2016 Plan. The options are subject to time-based vesting, with options to purchase 2,500 shares (25%) vesting on the first anniversary of the grant and options to purchase 7,500 shares (75%) vesting in equal monthly installments over the 36 months following the first anniversary; The options expire on the ten-year anniversary of the date of grant.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On September 8, 2023, we granted to Barbara Ryan and John Schroer each an option to purchase up to 10,000 shares of our common stock at an exercise price of $2.07 per share under the 2016 Plan. The options are subject to time-based vesting, with options to purchase 2,500 shares (25%) vesting on the first anniversary of the grant and options to purchase 7,500 shares (75%) vesting in equal monthly installments over the 36 months following the first anniversary, subject t their continued service on our board of directors; The options expire on the ten-year anniversary of the date of grant.</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Other than the options described above, we have not paid any directors’ fees or other compensation to our directors for their services as directors. All of our directors receive reimbursement for out-of-pocket expenses for attending board of directors meetings. We intend to commence the payment of our non-executive directors, including the payment of cash and equity awards, or a combination of both, but we have not adopted any such plans or policies as of this date. From time to time, we may also engage certain outside members of the board of directors to perform services on our behalf and we will compensate such persons for the services which they perform.</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Stock Incentive Plans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have adopted the Azitra, Inc. 2016 Stock Incentive Plan, or 2016 Plan, providing for the grant of non-qualified stock options and incentive stock options to purchase shares of our common stock and for the grant of restricted and unrestricted share grants and restricted stock units. We currently have reserved 242,345 shares of our common stock under the 2016 Plan. The purpose of the 2016 Plan is to provide eligible participants with an opportunity to acquire an ownership interest in our company. All officers, directors, employees and consultants to our company are eligible to participate under the 2016 Plan. The 2016 Plan provides that options may not be granted at an exercise price less than the fair market value of our shares of common stock on the date of grant. As of the date of this prospectus, we have outstanding options granted under the 2016 Plan to purchase an aggregate of 1,248,255 shares of our common stock at an average exercise price of $1.34 per share.</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March 2023, our Board and stockholders approved and adopted the Azitra, Inc. 2023 Stock Incentive Plan, or 2023 Plan, providing for the grant of non-qualified stock options and incentive stock options to purchase shares of our common stock and for the grant of restricted and unrestricted share grants and restricted stock units. We currently have reserved 2,000,000 shares of our common stock under the 2023 Plan. The purpose of the 2023 Plan is to provide eligible participants with an opportunity to acquire an ownership interest in our company. All officers, directors, employees and consultants to our company are eligible to participate under the 2023 Plan. The 2023 Plan provides that options may not be granted at an exercise price less than the fair market value of our shares of common stock on the date of grant. As of the date of this prospectus, we have outstanding options granted under the 2023 Plan to purchase an aggregate of 40,000 shares of our common stock at an average exercise price of $2.07 per share.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98" w:name="page99"/>
    <w:bookmarkEnd w:id="98"/>
    <w:p>
      <w:pPr>
        <w:ind w:left="620"/>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Except as set forth below, since January 1, 2020, we have not been a party to any transaction in which the amount involved in the transaction exceeded the lesser of $120,000 or one percent of the average of our total assets as of December 31, 2022 and 2021, and in which any of our directors, executive officers or, to our knowledge, beneficial owners of more than 5% of our voting securities or any member of the immediate family of any of the foregoing persons had or will have a direct or indirect material interest, other than compensation arrangements, which include equity and other compensation, termination, change in control and other arrangements, which are described under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We have adopted a policy that any transactions with directors, officers, beneficial owners of five percent or more of our common stock, any immediate family members of the foregoing or entities of which any of the foregoing are also officers or directors or in which they have a financial interest, will only be on terms consistent with industry standards and approved by a majority of the disinterested directors of our Board.</w:t>
      </w:r>
    </w:p>
    <w:p>
      <w:pPr>
        <w:spacing w:after="0" w:line="176"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September 2022, we issued unsecured convertible promissory notes in the aggregate principal amount of $4.35 million to five existing stockholders, including notes in the aggregate principal amount of $4 million to three funds under common control, namely Bios Fund III, LP, Bios Fund III QP, LP, and Bios Fund III NT, LP. The Bios entities beneficially own a collective 4,883,658 shares, or approximately 43.0%, of our outstanding common stock immediately prior to this offering. In connection the Bios entities investment in our Company, we granted the Bios entities certain board appointment rights pursuant to which they appointed to our Board a Bios representative who served on our Board from April 2016 to the date preceding the date of our June 2023 IPO. In addition, Travis Whitfill, our co-founder, chief operating officer and a member of our Board, was a partner of Bios Equity Partners, LP, the general partner of the aforementioned Bios entities, until June 2023.</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December 2019, we entered into a Joint Development Agreement, or JDA, with Bayer pursuant to which we agreed to the joint development of certain strains selected from our proprietary microbial library. Bayer paid us a one-time low six figure payment upon execution of the JDA. Pursuant to the JDA, Bayer is responsible for reimbursing us for our development costs, and in 2023 Bayer has paid us a six-figure dollar amount for our development costs. We have granted Bayer an option to acquire an exclusive royalty bearing license for up to six (6) strains subject to development activities under the JDA, including an exclusive royalty bearing license to any related patent rights.</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September 2020, Bayer’s venture capital group, LEAPS by Bayer, purchased $8 million of our Series B preferred stock. In connection with the investment, we granted Bayer certain board appointment rights pursuant to which they appointed to our Board a Bayer representative who served on our Board from September 2020 to the date preceding the date of this prospectus.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of Liability of Directors and Indemnification of Directors and Officers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Delaware General Corporation Law provides that corporations may include a provision in their certificate of incorporation relieving directors of monetary liability for breach of their fiduciary duty as directors,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for unlawful payment of a dividend or unlawful stock purchase or redemption, or (iv) for any transaction from which the director derived an improper personal benefit. Our amended and restated certificate of incorporation provides that directors are not liable to us or our stockholders for monetary damages for breach of their fiduciary duty as directors to the fullest extent permitted by Delaware law. In addition to the foregoing, our amended and restated certificate of incorporation provides that we shall indemnify directors and officers to the fullest extent permitted by law.</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above provisions in our amended and restated certificate of incorporation may have the effect of reducing the likelihood of derivative litigation against directors and may discourage or deter stockholders or management from bringing a lawsuit against directors for breach of their fiduciary duty, even though such an action, if successful, might otherwise have benefited us and our stockholders. However, we believe that the foregoing provisions are necessary to attract and retain qualified persons as directors.</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our shares of common stock as of the date of this prospectus by:</w:t>
      </w:r>
    </w:p>
    <w:p>
      <w:pPr>
        <w:spacing w:after="0" w:line="213" w:lineRule="exact"/>
        <w:rPr>
          <w:sz w:val="20"/>
          <w:szCs w:val="20"/>
          <w:color w:val="auto"/>
        </w:rPr>
      </w:pPr>
    </w:p>
    <w:p>
      <w:pPr>
        <w:ind w:left="1220" w:hanging="605"/>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who is known by us to be the beneficial owner of more than five percent (5%) of our issued and outstanding shares of common stock;</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executive officers and directors;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aforementioned directors and executive officers as a group.</w:t>
      </w:r>
    </w:p>
    <w:p>
      <w:pPr>
        <w:spacing w:after="0" w:line="196"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beneficial ownership of each person was calculated based on 12,097,643 shares of common stock issued and outstanding prior to the offering. The SEC has defined “beneficial ownership” to mean more than ownership in the usual sense. For example, a person has beneficial ownership of a share not only if he owns it, but also if he has the power (solely or shared) to vote, sell or otherwise dispose of the share. Beneficial ownership also includes the number of shares that a person has the right to acquire within 60 days of the date of this prospectus, pursuant to the exercise of options or warrants or the conversion of notes, debentures or other indebtedness. Two or more persons might count as beneficial owners of the same share. Percentage ownership of our common stock after this offering assumes our sale of shares of common stock in this offering and no exercise of the underwriters’ over-allotment option.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Unless otherwise indicated, the address for each reporting person is c/o Azitra, Inc., 21 Business Park Drive, Branford, Connecticut 06405.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Percentage Owned</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Percentage Owned</w:t>
            </w:r>
          </w:p>
        </w:tc>
      </w:tr>
      <w:tr>
        <w:trPr>
          <w:trHeight w:val="230"/>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of Director and Executive Officer</w:t>
            </w:r>
          </w:p>
        </w:tc>
        <w:tc>
          <w:tcPr>
            <w:tcW w:w="2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Prior to Offering</w:t>
            </w:r>
          </w:p>
        </w:tc>
        <w:tc>
          <w:tcPr>
            <w:tcW w:w="3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After Offering</w:t>
            </w:r>
          </w:p>
        </w:tc>
        <w:tc>
          <w:tcPr>
            <w:tcW w:w="140" w:type="dxa"/>
            <w:vAlign w:val="bottom"/>
            <w:tcBorders>
              <w:bottom w:val="single" w:sz="8" w:color="CCEEFF"/>
            </w:tcBorders>
          </w:tcPr>
          <w:p>
            <w:pPr>
              <w:spacing w:after="0"/>
              <w:rPr>
                <w:sz w:val="20"/>
                <w:szCs w:val="20"/>
                <w:color w:val="auto"/>
              </w:rPr>
            </w:pPr>
          </w:p>
        </w:tc>
      </w:tr>
      <w:tr>
        <w:trPr>
          <w:trHeight w:val="242"/>
        </w:trPr>
        <w:tc>
          <w:tcPr>
            <w:tcW w:w="518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Francisco D. Salva </w:t>
            </w:r>
            <w:r>
              <w:rPr>
                <w:rFonts w:ascii="Times New Roman" w:cs="Times New Roman" w:eastAsia="Times New Roman" w:hAnsi="Times New Roman"/>
                <w:sz w:val="28"/>
                <w:szCs w:val="28"/>
                <w:color w:val="auto"/>
                <w:vertAlign w:val="superscript"/>
              </w:rPr>
              <w:t>(1)</w:t>
            </w:r>
          </w:p>
        </w:tc>
        <w:tc>
          <w:tcPr>
            <w:tcW w:w="2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268,929</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Norman Staskey</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2"/>
        </w:trPr>
        <w:tc>
          <w:tcPr>
            <w:tcW w:w="538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Travis Whitfill </w:t>
            </w:r>
            <w:r>
              <w:rPr>
                <w:rFonts w:ascii="Times New Roman" w:cs="Times New Roman" w:eastAsia="Times New Roman" w:hAnsi="Times New Roman"/>
                <w:sz w:val="28"/>
                <w:szCs w:val="28"/>
                <w:color w:val="auto"/>
                <w:vertAlign w:val="superscript"/>
              </w:rPr>
              <w:t>(2)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412,653</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42"/>
        </w:trPr>
        <w:tc>
          <w:tcPr>
            <w:tcW w:w="538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Andrew McClary </w:t>
            </w:r>
            <w:r>
              <w:rPr>
                <w:rFonts w:ascii="Times New Roman" w:cs="Times New Roman" w:eastAsia="Times New Roman" w:hAnsi="Times New Roman"/>
                <w:sz w:val="28"/>
                <w:szCs w:val="28"/>
                <w:color w:val="auto"/>
                <w:vertAlign w:val="superscript"/>
              </w:rPr>
              <w:t>(3)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313,713</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4"/>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Barbara Ryan</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Schroer</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and executive officers, as a group (6 persons)</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995,295</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Percentage Owned</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Percentage Owned</w:t>
            </w:r>
          </w:p>
        </w:tc>
      </w:tr>
      <w:tr>
        <w:trPr>
          <w:trHeight w:val="230"/>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and Address of Five Percent Stockholders</w:t>
            </w:r>
          </w:p>
        </w:tc>
        <w:tc>
          <w:tcPr>
            <w:tcW w:w="2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Prior to Offering</w:t>
            </w:r>
          </w:p>
        </w:tc>
        <w:tc>
          <w:tcPr>
            <w:tcW w:w="3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After Offering</w:t>
            </w:r>
          </w:p>
        </w:tc>
        <w:tc>
          <w:tcPr>
            <w:tcW w:w="140" w:type="dxa"/>
            <w:vAlign w:val="bottom"/>
            <w:tcBorders>
              <w:bottom w:val="single" w:sz="8" w:color="CCEEFF"/>
            </w:tcBorders>
          </w:tcPr>
          <w:p>
            <w:pPr>
              <w:spacing w:after="0"/>
              <w:rPr>
                <w:sz w:val="20"/>
                <w:szCs w:val="20"/>
                <w:color w:val="auto"/>
              </w:rPr>
            </w:pPr>
          </w:p>
        </w:tc>
      </w:tr>
      <w:tr>
        <w:trPr>
          <w:trHeight w:val="242"/>
        </w:trPr>
        <w:tc>
          <w:tcPr>
            <w:tcW w:w="518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Bios Equity Entities </w:t>
            </w:r>
            <w:r>
              <w:rPr>
                <w:rFonts w:ascii="Times New Roman" w:cs="Times New Roman" w:eastAsia="Times New Roman" w:hAnsi="Times New Roman"/>
                <w:sz w:val="28"/>
                <w:szCs w:val="28"/>
                <w:color w:val="auto"/>
                <w:vertAlign w:val="superscript"/>
              </w:rPr>
              <w:t>(4)</w:t>
            </w:r>
          </w:p>
        </w:tc>
        <w:tc>
          <w:tcPr>
            <w:tcW w:w="2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6,799,021</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55.5%</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r>
      <w:tr>
        <w:trPr>
          <w:trHeight w:val="242"/>
        </w:trPr>
        <w:tc>
          <w:tcPr>
            <w:tcW w:w="538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 xml:space="preserve">Bayer Health Care, LLC </w:t>
            </w:r>
            <w:r>
              <w:rPr>
                <w:rFonts w:ascii="Times New Roman" w:cs="Times New Roman" w:eastAsia="Times New Roman" w:hAnsi="Times New Roman"/>
                <w:sz w:val="28"/>
                <w:szCs w:val="28"/>
                <w:color w:val="auto"/>
                <w:vertAlign w:val="superscript"/>
              </w:rPr>
              <w:t>(5)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1,307,401</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42"/>
        </w:trPr>
        <w:tc>
          <w:tcPr>
            <w:tcW w:w="538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Connecticut Innovations, Inc. </w:t>
            </w:r>
            <w:r>
              <w:rPr>
                <w:rFonts w:ascii="Times New Roman" w:cs="Times New Roman" w:eastAsia="Times New Roman" w:hAnsi="Times New Roman"/>
                <w:sz w:val="28"/>
                <w:szCs w:val="28"/>
                <w:color w:val="auto"/>
                <w:vertAlign w:val="superscript"/>
              </w:rPr>
              <w:t>(6)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814,031</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78308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06" w:lineRule="exact"/>
        <w:rPr>
          <w:sz w:val="20"/>
          <w:szCs w:val="20"/>
          <w:color w:val="auto"/>
        </w:rPr>
      </w:pPr>
    </w:p>
    <w:p>
      <w:pPr>
        <w:ind w:left="300" w:hanging="298"/>
        <w:spacing w:after="0"/>
        <w:tabs>
          <w:tab w:leader="none" w:pos="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less than 1% of the number of shares of our common stock outstanding.</w:t>
      </w:r>
    </w:p>
    <w:p>
      <w:pPr>
        <w:spacing w:after="0" w:line="213" w:lineRule="exact"/>
        <w:rPr>
          <w:sz w:val="20"/>
          <w:szCs w:val="20"/>
          <w:color w:val="auto"/>
        </w:rPr>
      </w:pPr>
    </w:p>
    <w:p>
      <w:pPr>
        <w:ind w:left="300" w:hanging="298"/>
        <w:spacing w:after="0"/>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263,929 shares of our common stock issuable upon exercise of presently exercisable options.</w:t>
      </w:r>
    </w:p>
    <w:p>
      <w:pPr>
        <w:spacing w:after="0" w:line="212"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93,153 shares issuable upon exercise of presently exercisable options.</w:t>
      </w:r>
    </w:p>
    <w:p>
      <w:pPr>
        <w:spacing w:after="0" w:line="212" w:lineRule="exact"/>
        <w:rPr>
          <w:rFonts w:ascii="Times New Roman" w:cs="Times New Roman" w:eastAsia="Times New Roman" w:hAnsi="Times New Roman"/>
          <w:sz w:val="17"/>
          <w:szCs w:val="17"/>
          <w:color w:val="auto"/>
        </w:rPr>
      </w:pPr>
    </w:p>
    <w:p>
      <w:pPr>
        <w:ind w:left="300" w:hanging="298"/>
        <w:spacing w:after="0" w:line="282" w:lineRule="auto"/>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are held by KdT Ventures LP, of which Mr. McClary is the managing partner. Includes 21,802 shares of our common stock issuable upon the exercise of warrants.</w:t>
      </w:r>
    </w:p>
    <w:p>
      <w:pPr>
        <w:spacing w:after="0" w:line="153" w:lineRule="exact"/>
        <w:rPr>
          <w:rFonts w:ascii="Times New Roman" w:cs="Times New Roman" w:eastAsia="Times New Roman" w:hAnsi="Times New Roman"/>
          <w:sz w:val="17"/>
          <w:szCs w:val="17"/>
          <w:color w:val="auto"/>
        </w:rPr>
      </w:pPr>
    </w:p>
    <w:p>
      <w:pPr>
        <w:jc w:val="both"/>
        <w:ind w:left="300" w:hanging="298"/>
        <w:spacing w:after="0" w:line="252" w:lineRule="auto"/>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799,467 shares of common stock held by Bios Fund I, LP, (ii) 436,173 shares of common stock and 39,760 shares of common stock issuable upon the exercise of warrants held by Bios Azitra Co-Invest I, LP, (iii) 313,250 shares of common stock and 22,726 shares of common stock issuable upon the exercise of warrants held by Bios Fund II, LP, (iv) 404,767 shares of common stock held by Bios Fund III, LP, (v) 467,613 shares of common stock held by Bios Fund I QP, LP, (vi) 1,023,442 shares of common stock and 74,236 shares of common stock issuable upon the exercise of warrants held by Bios Fund II QP, LP and 74,236 shares of common stock issuable upon the exercise of warrants, (vii) 2,643,705 shares of common stock held by Bios Fund III QP, LP, (viii) 137,000 shares of common stock and 9,938 shares of common stock issuable upon the exercise of warrants held by Bios Fund II NT, LP, (ix) 426,944 shares of common stock held by Bios Fund III NT, LP. Bios Equity Partners, LP is the general partner of the following entities: Bios Fund I, LP and Bios Fund I QP, LP. Bios Equity Partners II, LP is the general partner of Bios Fund II, LP, QP, LP, Bios Fund II, LP and Bios Fund II NT, LP. Cavu Management, LP, an entity managed and controlled by Mr. Les Kreis, and Bios Capital Management, LP, an entity managed and controlled by Mr. Aaron Fletcher, are the general partners of Bios Equity I, LP and Bios Equity II, LP. Cavu Advisors LLC, an entity that is managed and controlled by Mr. Kreis, is the general partner of Cavu Management LP. Bios Advisors GP, LLC, an entity that is managed and controlled by Mr. Fletcher, is the general partner of Bios Capital Management, LP. The shares owned by Bios Fund I, Bios Fund I QP, Bios Fund II, Bios Fund II QP, Bios Fund II NT and Bios Fund III NT (“Bios Equity Entities”) are aggregated for purposes of reporting share ownership information. Mr. Kreis and Mr. Fletcher share voting and investment control with respect to shares held by the Bios Equity Entities. Travis Whitfill, a chief operator officer and director of the Company, was a partner at Bios Equity Partners, LP until June 2023, but did not have any voting or investment control with respect to the shares held by the Bio Equity Entities. The address for Bios Equity Entities is 1751 River Run, Suite 400, Fort Worth, Texas 76107.</w:t>
      </w:r>
    </w:p>
    <w:p>
      <w:pPr>
        <w:spacing w:after="0" w:line="187"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Bayer HealthCare, LLC is 610 Main Street Cambridge, Massachusetts 02139.</w:t>
      </w:r>
    </w:p>
    <w:p>
      <w:pPr>
        <w:spacing w:after="0" w:line="212" w:lineRule="exact"/>
        <w:rPr>
          <w:rFonts w:ascii="Times New Roman" w:cs="Times New Roman" w:eastAsia="Times New Roman" w:hAnsi="Times New Roman"/>
          <w:sz w:val="17"/>
          <w:szCs w:val="17"/>
          <w:color w:val="auto"/>
        </w:rPr>
      </w:pPr>
    </w:p>
    <w:p>
      <w:pPr>
        <w:ind w:left="300" w:hanging="298"/>
        <w:spacing w:after="0" w:line="282" w:lineRule="auto"/>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41,314 shares of common stock issuable upon the exercise of warrants. The address for Connecticut Innovations, Inc. is 470 James Street, Suite 8 New Haven, CT 06513.</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following description summarizes the most important terms of our capital stock. Because it is only a summary, it does not contain all the information that may be important to you. For a complete description of the matters set forth in this “Description of Securities,” you should refer to our amended and restated certificate of incorporation and amended and restated bylaws and investor rights agreement, which are included as exhibits to the registration statement of which this prospectus forms a part, and to the applicable provisions of Delaware law.</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Our authorized capital stock consists of 100,000,000 shares of common stock, $0.0001 par value per share, and 10,000,000 shares of undesignated preferred stock, $0.0001 par value per share.</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12,097,643 shares of our common stock outstanding and no shares of our preferred stock outstanding as of the date of this prospectus.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the date of this prospectus, we had 32 stockholders of record.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holders of common stock are entitled to one vote for each share of common stock. The holders of common stock are entitled to any dividends that may be declared by the Board out of funds legally available for payment of dividends at such times and in such amounts as the Board in its discretion. In the event of any liquidation, dissolution or winding up of the Company, holders of common stock are entitled to receive the assets of the Company available for distribution to its stockholders ratably in proportion to the number of shares of common stock held by the holders of common stock. The holders of shares of common stock have no preemptive, conversion, subscription rights or cumulative voting rights.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As of the date of this prospectus, there are a total of 10,000,000 shares of undesignated preferred stock authorized for issuance, none of which are outstanding.</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Our Board is authorized, without further action by our stockholders, to provide from time to time out of the unissued shares of preferred stock for one or more series of preferred stock, and with respect to each such series, to fix the number of shares constituting such series and the designation of such series, the powers (including voting powers), if any, of the shares of such series and the preferences and relative, participating, optional, special or other rights, if any, and the qualifications, limitations, or restrictions, if any, of the shares of such series.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outstanding the following warrants to purchase shares of our common stock:</w:t>
      </w:r>
    </w:p>
    <w:p>
      <w:pPr>
        <w:spacing w:after="0" w:line="213" w:lineRule="exact"/>
        <w:rPr>
          <w:sz w:val="20"/>
          <w:szCs w:val="20"/>
          <w:color w:val="auto"/>
        </w:rPr>
      </w:pPr>
    </w:p>
    <w:p>
      <w:pPr>
        <w:ind w:left="1220" w:hanging="605"/>
        <w:spacing w:after="0" w:line="261" w:lineRule="auto"/>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issued in connection with our April 2018 placement of unsecured convertible promissory notes to purchase up to an aggregate of 47,890 shares of our common stock, at a per share exercise price equal to $0.48. The warrants expire in April 2028.</w:t>
      </w:r>
    </w:p>
    <w:p>
      <w:pPr>
        <w:ind w:left="1220" w:hanging="605"/>
        <w:spacing w:after="0" w:line="250" w:lineRule="auto"/>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issued in connection with our February 2019 placement of Series A-1 convertible preferred shares to purchase up to an aggregate of 215,856 shares of our common stock, at a per share exercise price equal to $5.28. The warrants expire in February 2029.</w:t>
      </w:r>
    </w:p>
    <w:p>
      <w:pPr>
        <w:spacing w:after="0" w:line="1"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issued to the underwriter of our IPO to purchase 60,000 shares of our common stock. This warrant is exercisable at $6.25 per share. The warrants expire in June 2028.</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Stock Incentive Plans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have adopted the Azitra, Inc. 2016 Stock Incentive Plan, or 2016 Plan, providing for the grant of non-qualified stock options and incentive stock options to purchase shares of our common stock and for the grant of restricted and unrestricted share grants and restricted stock units. We currently have reserved 242,345 shares of our common stock under the 2016 Plan. The purpose of the 2016 Plan is to provide eligible participants with an opportunity to acquire an ownership interest in our company. All officers, directors, employees and consultants to our company are eligible to participate under the 2016 Plan. The 2016 Plan provides that options may not be granted at an exercise price less than the fair market value of our shares of common stock on the date of grant. As of the date of this prospectus, we have outstanding options granted under the 2016 Plan to purchase an aggregate of 1,248,255 shares of our common stock at an average exercise price of $1.34 per share.</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March 2023, our Board and stockholders approved and adopted the Azitra, Inc. 2023 Stock Incentive Plan, or 2023 Plan, providing for the grant of non-qualified stock options and incentive stock options to purchase shares of our common stock and for the grant of restricted and unrestricted share grants and restricted stock units. We currently have reserved 2,000,000 shares of our common stock under the 2023 Plan. The purpose of the 2023 Plan is to provide eligible participants with an opportunity to acquire an ownership interest in our company. All officers, directors, employees and consultants to our company are eligible to participate under the 2023 Plan. The 2023 Plan provides that options may not be granted at an exercise price less than the fair market value of our shares of common stock on the date of grant. As of the date of this prospectus, we have outstanding options granted under the 2023 Plan to purchase an aggregate of 40,000 shares of our common stock at an average exercise price of $2.07 per share.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anticipate the payment of cash dividends on our common stock in the foreseeable future.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Certain holders of our common stock, or their permitted transferees, are entitled to the registration rights described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registrations described below. The registration rights described below will expire upon the earlier of June 20, 2026 or when all investors, considered with their affiliates, can sell all of their shares in a three-month period under Rule 144.</w:t>
      </w:r>
    </w:p>
    <w:p>
      <w:pPr>
        <w:spacing w:after="0" w:line="170"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i w:val="1"/>
          <w:iCs w:val="1"/>
          <w:color w:val="auto"/>
        </w:rPr>
        <w:t>Convertible Preferred Stock Registration Rights</w:t>
      </w:r>
      <w:r>
        <w:rPr>
          <w:rFonts w:ascii="Times New Roman" w:cs="Times New Roman" w:eastAsia="Times New Roman" w:hAnsi="Times New Roman"/>
          <w:sz w:val="17"/>
          <w:szCs w:val="17"/>
          <w:color w:val="auto"/>
        </w:rPr>
        <w:t>. In connection with our convertible preferred stock financings, we entered into an investor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as amended, pursuant to which we have granted the purchasers of our convertible preferred stock certain demand and piggyback respiration rights. Those parties beneficially hold approximately 9,542,519 shares of our common stock, including 1,838,775 shares of our common stock issuable upon exercise of warrants issued to the parties in connection with our 2018 placement of our unsecured convertible promissory notes and our 2019 placement of Series A-1 convertible preferred shares.</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Pursuant to the investor rights agreement, we are required, upon the written request by the holders of at least 50% of the shares that are entitled to registration rights under the investor rights agreement, to register, as soon as practicable, all or a portion of these shares for public resale. We are required to effect two demand registrations pursuant to a registration statement on Form S-1. Subject to our eligibility to use a registration statement on Form S-3, we are required to effect an unlimited number of demand registrations pursuant to Form S-3, provided such requests for registration be for an aggregate offering price, net of the underwriting discounts and commissions, equal or greater than $1 million. Pursuant to the investor rights agreement, we have also granted to the piggyback registration rights and demand registration rights. These demand and piggyback registration rights terminate as to each investor when their shares subject to the registration rights agreement may be sold by the investor pursuant to Rule 144 under the Securities Act without regard to both the volume limitations for sales as provided in Rule 144.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2" w:name="page103"/>
    <w:bookmarkEnd w:id="102"/>
    <w:p>
      <w:pPr>
        <w:jc w:val="both"/>
        <w:ind w:firstLine="613"/>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Underwriter Registration Rights. </w:t>
      </w:r>
      <w:r>
        <w:rPr>
          <w:rFonts w:ascii="Times New Roman" w:cs="Times New Roman" w:eastAsia="Times New Roman" w:hAnsi="Times New Roman"/>
          <w:sz w:val="17"/>
          <w:szCs w:val="17"/>
          <w:color w:val="auto"/>
        </w:rPr>
        <w:t>In connection with our IPO, we issued to the representative of the underwriters or its designees warrants, referred to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Representative’s Warrants, to purchase up to a total of 60,000 shares of our common stock. The Representative’s Warrants provide for registration rights (including a one-time demand registration right and unlimited piggyback rights) consistent with FINRA Rule 5110.05. The demand for registration may be made at any time beginning on the initial exercise date of the Representative’s Warrants and expiring on the fifth anniversary of the effective date of this registration statement in accordance with FINRA Rule 5110(g)(8)(C). In addition to the one-time demand registration right, the Representative’s Warrants has unlimited piggyback rights, for a period of no more than two years from the initial exercise date of the Representative’s Warrants in accordance with FINRA Rule 5110(g)(8)(D).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Certain Provisions of Delaware Law and Our Charter Documents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following is a summary of certain provisions of Delaware law and our amended and restated certificate of incorporation and amended and restated bylaws. This summary does not purport to be complete and is qualified in its entirety by reference to the corporate law of Delaware and our amended and restated certificate of incorporation and amended and restated bylaws.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Delaware Law</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subject to Section 203 of the Delaware General Corporation Law, an anti-takeover law. In general, Section 203 prohibits a Delaware corporation from engaging in any business combination (as defined below) with any interested stockholder (as defined below) for a period of three years following the date that the stockholder became an interested stockholder, unless:</w:t>
      </w:r>
    </w:p>
    <w:p>
      <w:pPr>
        <w:spacing w:after="0" w:line="167" w:lineRule="exact"/>
        <w:rPr>
          <w:sz w:val="20"/>
          <w:szCs w:val="20"/>
          <w:color w:val="auto"/>
        </w:rPr>
      </w:pPr>
    </w:p>
    <w:p>
      <w:pPr>
        <w:ind w:left="1220" w:hanging="605"/>
        <w:spacing w:after="0" w:line="261" w:lineRule="auto"/>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that date, the board of directors of the corporation approved either the business combination or the transaction that resulted in the stockholder becoming an interested stockholder;</w:t>
      </w:r>
    </w:p>
    <w:p>
      <w:pPr>
        <w:jc w:val="both"/>
        <w:ind w:left="1220" w:hanging="605"/>
        <w:spacing w:after="0" w:line="250" w:lineRule="auto"/>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p>
      <w:pPr>
        <w:spacing w:after="0" w:line="2" w:lineRule="exact"/>
        <w:rPr>
          <w:rFonts w:ascii="Times New Roman" w:cs="Times New Roman" w:eastAsia="Times New Roman" w:hAnsi="Times New Roman"/>
          <w:sz w:val="17"/>
          <w:szCs w:val="17"/>
          <w:color w:val="auto"/>
        </w:rPr>
      </w:pPr>
    </w:p>
    <w:p>
      <w:pPr>
        <w:jc w:val="both"/>
        <w:ind w:left="1220" w:hanging="605"/>
        <w:spacing w:after="0" w:line="256" w:lineRule="auto"/>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203 defines “business combination” to include the following:</w:t>
      </w:r>
    </w:p>
    <w:p>
      <w:pPr>
        <w:spacing w:after="0" w:line="213" w:lineRule="exact"/>
        <w:rPr>
          <w:sz w:val="20"/>
          <w:szCs w:val="20"/>
          <w:color w:val="auto"/>
        </w:rPr>
      </w:pPr>
    </w:p>
    <w:p>
      <w:pPr>
        <w:ind w:left="1220" w:hanging="605"/>
        <w:spacing w:after="0"/>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involving the corporation and the interested stockholder;</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transfer, pledge or other disposition of 10% or more of the assets of the corporation involving the interested stockholder;</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exceptions, any transaction that results in the issuance or transfer by the corporation of any stock of the corporation to the interested stockholder;</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limited exceptions, any transaction involving the corporation that has the effect of increasing the proportionate share of the stock of any class or series of the corporation beneficially owned by the interested stockholder; or</w:t>
      </w:r>
    </w:p>
    <w:p>
      <w:pPr>
        <w:spacing w:after="0" w:line="1"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17"/>
          <w:szCs w:val="17"/>
          <w:b w:val="1"/>
          <w:bCs w:val="1"/>
          <w:color w:val="auto"/>
        </w:rPr>
        <w:t>Our Charter Documents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charter documents include provisions that could have the effect of discouraging others from making tender offers for our shares and may have the effect of deterring hostile takeovers or delaying changes in our control or management. These provisions are intended to enhance the likelihood of continued stability in the composition of our Board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may have the effect of discouraging, delaying or preventing a change in 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spacing w:after="0" w:line="170"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i w:val="1"/>
          <w:iCs w:val="1"/>
          <w:color w:val="auto"/>
        </w:rPr>
        <w:t>Effects of authorized but unissued common stock and preferred stock</w:t>
      </w:r>
      <w:r>
        <w:rPr>
          <w:rFonts w:ascii="Times New Roman" w:cs="Times New Roman" w:eastAsia="Times New Roman" w:hAnsi="Times New Roman"/>
          <w:sz w:val="17"/>
          <w:szCs w:val="17"/>
          <w:color w:val="auto"/>
        </w:rPr>
        <w:t>. One of the effects of the existence of authorized but unissued common stock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may be to enable our Board to make more difficult or to discourage an attempt to obtain control of our Company by means of a merger, tender offer, proxy contest or otherwise, and thereby to protect the continuity of management. If, in the due exercise of its fiduciary obligations, the Board were to determine that a takeover proposal was not in our best interest, such shares could be issued by the Board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by effecting an acquisition that might complicate or preclude the takeover, or otherwise.</w:t>
      </w:r>
    </w:p>
    <w:p>
      <w:pPr>
        <w:spacing w:after="0" w:line="174"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Cumulative Voting</w:t>
      </w:r>
      <w:r>
        <w:rPr>
          <w:rFonts w:ascii="Times New Roman" w:cs="Times New Roman" w:eastAsia="Times New Roman" w:hAnsi="Times New Roman"/>
          <w:sz w:val="17"/>
          <w:szCs w:val="17"/>
          <w:color w:val="auto"/>
        </w:rPr>
        <w:t>. Our amended and restated certificate of incorporation does not provide for cumulative voting in the election of directors, which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allow holders of less than a majority of the stock to elect some directors.</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Vacancies</w:t>
      </w:r>
      <w:r>
        <w:rPr>
          <w:rFonts w:ascii="Times New Roman" w:cs="Times New Roman" w:eastAsia="Times New Roman" w:hAnsi="Times New Roman"/>
          <w:sz w:val="17"/>
          <w:szCs w:val="17"/>
          <w:color w:val="auto"/>
        </w:rPr>
        <w:t>. Our amended and restated bylaws provide that all vacancies may be filled by the affirmative vote of a majority of directors then in office, even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less than a quorum.</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Special Meeting of Stockholders and Stockholder Action by Written Consent</w:t>
      </w:r>
      <w:r>
        <w:rPr>
          <w:rFonts w:ascii="Times New Roman" w:cs="Times New Roman" w:eastAsia="Times New Roman" w:hAnsi="Times New Roman"/>
          <w:sz w:val="17"/>
          <w:szCs w:val="17"/>
          <w:color w:val="auto"/>
        </w:rPr>
        <w:t>. A special meeting of stockholders may only be called by our Board 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chairperson of our Board. All stockholder actions must be effected at a duly called meeting of stockholders and not by written consent.</w:t>
      </w:r>
    </w:p>
    <w:p>
      <w:pPr>
        <w:spacing w:after="0" w:line="145"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i w:val="1"/>
          <w:iCs w:val="1"/>
          <w:color w:val="auto"/>
        </w:rPr>
        <w:t>Advance Notice Provisions</w:t>
      </w:r>
      <w:r>
        <w:rPr>
          <w:rFonts w:ascii="Times New Roman" w:cs="Times New Roman" w:eastAsia="Times New Roman" w:hAnsi="Times New Roman"/>
          <w:sz w:val="17"/>
          <w:szCs w:val="17"/>
          <w:color w:val="auto"/>
        </w:rPr>
        <w:t>. Our amended and restated bylaws provide advance notice procedures for stockholders seeking to bring business before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69"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i w:val="1"/>
          <w:iCs w:val="1"/>
          <w:color w:val="auto"/>
        </w:rPr>
        <w:t>Choice of Forum</w:t>
      </w:r>
      <w:r>
        <w:rPr>
          <w:rFonts w:ascii="Times New Roman" w:cs="Times New Roman" w:eastAsia="Times New Roman" w:hAnsi="Times New Roman"/>
          <w:sz w:val="17"/>
          <w:szCs w:val="17"/>
          <w:color w:val="auto"/>
        </w:rPr>
        <w:t>. Our amended and restated certificate of incorporation and amended and restated bylaws will provide that the Court of Chancery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bylaws; or any action asserting a claim against us that is governed by the internal affairs doctrine.</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transfer agent and registrar for our shares of common stock is VStock Transfer, LLC. The transfer agent and registrar’s address is 18 Lafayette Place, Woodmere, New York 11598.</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National Securities Exchange Listing</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is listed on the NYSE American under the symbol “AZTR.”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Future sales of substantial amounts of shares of common stock, including shares issued upon the exercise of outstanding warrants and options, in the public market after this offering, or the possibility of these sales occurring, could adversely affect the prevailing market price for our common stock or impair our ability to raise equity capital.</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Upon the completion of this offering, a total of 28,764,643 shares of common stock will be outstanding. All 16,667,000 shares of common stock sold in this offering by us, plus any shares sold upon exercise of the underwriter’s over-allotment option, will be freely tradable in the public market without restriction or further registration under the Securities Act, unless these shares are held by “affiliates,” as that term is defined in Rule 144 under the Securities Act. In addition, of the 12,097,643 shares of our common stock outstanding prior to this offering, approximately 3,984,145 shares will be freely tradable in the public market without restriction or further registration under the Securities Act.</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remaining 8,113,498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under the Securities Act, which is summarized below.</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Subject to the lock-up agreements described below and the provisions of Rule 144 under the Securities Act, these restricted securities are available for sale in the public market.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general, under Rule 144, as currently in effect, our affiliates or persons selling shares on behalf of our affiliates are entitled to sell upon expiration of the lock-up agreements described below, within any three-month period a number of shares that does not exceed the greater of:</w:t>
      </w:r>
    </w:p>
    <w:p>
      <w:pPr>
        <w:spacing w:after="0" w:line="153" w:lineRule="exact"/>
        <w:rPr>
          <w:sz w:val="20"/>
          <w:szCs w:val="20"/>
          <w:color w:val="auto"/>
        </w:rPr>
      </w:pPr>
    </w:p>
    <w:p>
      <w:pPr>
        <w:ind w:left="1220" w:hanging="605"/>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number of shares of common stock then outstanding; or</w:t>
      </w:r>
    </w:p>
    <w:p>
      <w:pPr>
        <w:spacing w:after="0" w:line="26"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trading volume of the common stock during the four calendar weeks preceding the filing of a notice on Form 144 with respect to such sale.</w:t>
      </w:r>
    </w:p>
    <w:p>
      <w:pPr>
        <w:spacing w:after="0" w:line="17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17" w:lineRule="exact"/>
        <w:rPr>
          <w:sz w:val="20"/>
          <w:szCs w:val="20"/>
          <w:color w:val="auto"/>
        </w:rPr>
      </w:pPr>
    </w:p>
    <w:p>
      <w:pPr>
        <w:jc w:val="both"/>
        <w:ind w:firstLine="1021"/>
        <w:spacing w:after="0" w:line="255" w:lineRule="auto"/>
        <w:rPr>
          <w:sz w:val="20"/>
          <w:szCs w:val="20"/>
          <w:color w:val="auto"/>
        </w:rPr>
      </w:pPr>
      <w:r>
        <w:rPr>
          <w:rFonts w:ascii="Times New Roman" w:cs="Times New Roman" w:eastAsia="Times New Roman" w:hAnsi="Times New Roman"/>
          <w:sz w:val="17"/>
          <w:szCs w:val="17"/>
          <w:color w:val="auto"/>
        </w:rPr>
        <w:t>Each of our directors and officers have agreed, subject to certain exceptions, not to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six (6) months from the date of this prospectus, or until August 13, 2024, without the prior written consent of the representative. We, subject to certain exceptions, have agreed, subject to certain exceptions, not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ninety (90) days after the date of this prospectus, without the prior written consent of the representative.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Plans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S-8 under the Securities Act to register all of the shares of common stock to be issued or reserved for issuance under our 2016 Plan and 2023 Plan. Shares covered by this registration statement are eligible for sale in the public market, upon the expiration or release from the terms of the lock-up agreements and subject to vesting of such shares.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 FOR NON-U.S. HOLDERS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71" w:lineRule="exact"/>
        <w:rPr>
          <w:sz w:val="20"/>
          <w:szCs w:val="20"/>
          <w:color w:val="auto"/>
        </w:rPr>
      </w:pPr>
    </w:p>
    <w:p>
      <w:pPr>
        <w:ind w:left="1220" w:hanging="605"/>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expatriates and former citizens or long-term residents of the United States;</w:t>
      </w:r>
    </w:p>
    <w:p>
      <w:pPr>
        <w:spacing w:after="0" w:line="26"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our common stock as part of a hedge, straddle, or other risk reduction strategy or as part of a conversion transaction or other integrated investment;</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insurance companies, and other financial institutions;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brokers, dealers, or traders in securities;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other entities or arrangements treated as partnerships for U.S. federal income tax purposes (and investors therein);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organizations or governmental organizations;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our common stock under the constructive sale provisions of the Code;</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hold or receive our common stock pursuant to the exercise of any employee stock option or otherwise as compensation;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tax-qualified retirement plans; and</w:t>
      </w:r>
    </w:p>
    <w:p>
      <w:pPr>
        <w:spacing w:after="0" w:line="8"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63"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color w:val="auto"/>
        </w:rPr>
        <w:t>Definition of a Non-U.S. Holder</w:t>
      </w:r>
    </w:p>
    <w:p>
      <w:pPr>
        <w:spacing w:after="0" w:line="217"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53" w:lineRule="exact"/>
        <w:rPr>
          <w:sz w:val="20"/>
          <w:szCs w:val="20"/>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created or organized under the laws of the United States, any state thereof, or the District of Columbia;</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8"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 or Other Taxable Disposition</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Non-U.S. Holder will not be subject to U.S. federal income tax on any gain realized upon the sale or other taxable disposition of our common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w:t>
      </w:r>
    </w:p>
    <w:p>
      <w:pPr>
        <w:spacing w:after="0" w:line="196" w:lineRule="exact"/>
        <w:rPr>
          <w:sz w:val="20"/>
          <w:szCs w:val="20"/>
          <w:color w:val="auto"/>
        </w:rPr>
      </w:pPr>
    </w:p>
    <w:p>
      <w:pPr>
        <w:ind w:left="1220" w:hanging="605"/>
        <w:spacing w:after="0" w:line="282" w:lineRule="auto"/>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7" w:name="page108"/>
    <w:bookmarkEnd w:id="107"/>
    <w:p>
      <w:pPr>
        <w:ind w:left="1220" w:hanging="605"/>
        <w:spacing w:after="0" w:line="261" w:lineRule="auto"/>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 nonresident alien individual present in the United States for 183 days or more during the taxable year of the disposition and certain other requirements are met; or</w:t>
      </w:r>
    </w:p>
    <w:p>
      <w:pPr>
        <w:ind w:left="1220" w:hanging="605"/>
        <w:spacing w:after="0" w:line="261" w:lineRule="auto"/>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constitutes a U.S. real property interest, or USRPI, by reason of our status as a U.S. real property holding corporation, or USRPHC, for U.S. federal income tax purposes.</w:t>
      </w:r>
    </w:p>
    <w:p>
      <w:pPr>
        <w:spacing w:after="0" w:line="17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1"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USRPIs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Non-U.S. Holders should consult their tax advisors regarding potentially applicable income tax treaties that may provide for different rules.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Reporting and Backup Withholding</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t>Additional Withholding Tax on Payments Made to Foreign Accounts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Prospective investors should consult their tax advisors regarding the potential application of withholding under FATCA to their investment in our common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ThinkEquity LLC is acting as representative of the underwriters of this offering. We have entered into an underwriting agreement dated February 13, 2024 with the representative. Subject to the terms and conditions of the underwriting agreement, we have agreed to sell to each underwriter named below, and each underwriter named below has severally agreed to purchase, at the public offering price less the underwriting discounts set forth on the cover page of this prospectus, the number of shares of common stock listed next to its name in the following table:</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Underwriter</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Shares</w:t>
            </w:r>
          </w:p>
        </w:tc>
      </w:tr>
      <w:tr>
        <w:trPr>
          <w:trHeight w:val="237"/>
        </w:trPr>
        <w:tc>
          <w:tcPr>
            <w:tcW w:w="8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ThinkEquity LLC</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16,667,000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7"/>
        </w:trPr>
        <w:tc>
          <w:tcPr>
            <w:tcW w:w="8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16,667,000</w:t>
            </w:r>
          </w:p>
        </w:tc>
        <w:tc>
          <w:tcPr>
            <w:tcW w:w="100" w:type="dxa"/>
            <w:vAlign w:val="bottom"/>
          </w:tcPr>
          <w:p>
            <w:pPr>
              <w:spacing w:after="0"/>
              <w:rPr>
                <w:sz w:val="18"/>
                <w:szCs w:val="18"/>
                <w:color w:val="auto"/>
              </w:rPr>
            </w:pPr>
          </w:p>
        </w:tc>
      </w:tr>
    </w:tbl>
    <w:p>
      <w:pPr>
        <w:spacing w:after="0" w:line="17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underwriters are committed to purchase all shares of common stock offered by us other than those covered by the over-allotment option described below, if any are purchased. The obligations of the underwriters may be terminated upon the occurrence of certain events specified in the underwriting agreement.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underwriters are offering the shares of common stock subject to prior sale, when, as and if issued to and accepted by them, subject to approval of legal matters by their counsel, and other conditions. The underwriters reserve the right to withdraw, cancel or modify offers to the public and to reject orders in whole or in part.</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underwriters propose to offer the shares of common stock offered by us to the public at the public offering price set forth on the cover of the prospectus. After the shares of common stock are released for sale to the public, the underwriters may change the offering price and other selling terms at various times.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Over-Allotment Option</w:t>
      </w:r>
    </w:p>
    <w:p>
      <w:pPr>
        <w:spacing w:after="0" w:line="217" w:lineRule="exact"/>
        <w:rPr>
          <w:sz w:val="20"/>
          <w:szCs w:val="20"/>
          <w:color w:val="auto"/>
        </w:rPr>
      </w:pPr>
    </w:p>
    <w:p>
      <w:pPr>
        <w:jc w:val="both"/>
        <w:ind w:firstLine="1021"/>
        <w:spacing w:after="0" w:line="258" w:lineRule="auto"/>
        <w:rPr>
          <w:sz w:val="20"/>
          <w:szCs w:val="20"/>
          <w:color w:val="auto"/>
        </w:rPr>
      </w:pPr>
      <w:r>
        <w:rPr>
          <w:rFonts w:ascii="Times New Roman" w:cs="Times New Roman" w:eastAsia="Times New Roman" w:hAnsi="Times New Roman"/>
          <w:sz w:val="17"/>
          <w:szCs w:val="17"/>
          <w:color w:val="auto"/>
        </w:rPr>
        <w:t>We have granted the underwriters an over-allotment option. This option, which is exercisable for up to 45 days after the date of this prospectus, permits the representative to purchase a maximum of 2,500,000 additional shares of common stock (approximately 15% of the shares sold in this offering) from us to cover over-allotments, if any. If the representative exercises all or part of this option, it will purchase shares covered by the option at the public offering price per share that appears on the cover page of this prospectus, less the underwriting discount. If this option is exercised in full, the total offering price to the public will be $5.75 million and the total net proceeds, before expenses, to us will be $4.9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Discount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underwriters propose initially to offer the shares of common stock to the public at the public offering price set forth on the cover page of this prospectus and to dealers at that price less a concession not in excess of $0.012 per share of common stock. If all of the shares of common stock offered by us are not sold at the public offering price, the underwriters may change the offering price and other selling terms by means of a supplement to this prospectus.</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table shows the public offering price, underwriting discounts and proceeds, before expenses, to us. The information assumes either no exercise or full exercise by the underwriters of their over-allotment option.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Total Without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Total With</w:t>
            </w:r>
          </w:p>
        </w:tc>
      </w:tr>
      <w:tr>
        <w:trPr>
          <w:trHeight w:val="204"/>
        </w:trPr>
        <w:tc>
          <w:tcPr>
            <w:tcW w:w="3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Over-Allotment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Over-Allotment</w:t>
            </w:r>
          </w:p>
        </w:tc>
      </w:tr>
      <w:tr>
        <w:trPr>
          <w:trHeight w:val="230"/>
        </w:trPr>
        <w:tc>
          <w:tcPr>
            <w:tcW w:w="3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Option</w:t>
            </w:r>
          </w:p>
        </w:tc>
      </w:tr>
      <w:tr>
        <w:trPr>
          <w:trHeight w:val="204"/>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1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3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5,000,100</w:t>
            </w:r>
          </w:p>
        </w:tc>
        <w:tc>
          <w:tcPr>
            <w:tcW w:w="3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5,750,100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 (7.5%)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0.0225</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375,007.50</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431,257.50</w:t>
            </w:r>
          </w:p>
        </w:tc>
      </w:tr>
      <w:tr>
        <w:trPr>
          <w:trHeight w:val="20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 to us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0.2775</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4,625,092.50</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5,318,842.50</w:t>
            </w:r>
          </w:p>
        </w:tc>
      </w:tr>
      <w:tr>
        <w:trPr>
          <w:trHeight w:val="414"/>
        </w:trPr>
        <w:tc>
          <w:tcPr>
            <w:tcW w:w="3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7"/>
                <w:szCs w:val="17"/>
                <w:color w:val="auto"/>
                <w:w w:val="93"/>
              </w:rPr>
              <w:t>106</w:t>
            </w: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0" w:right="339" w:bottom="1440" w:gutter="0" w:footer="0" w:header="0"/>
        </w:sectPr>
      </w:pPr>
    </w:p>
    <w:bookmarkStart w:id="110" w:name="page111"/>
    <w:bookmarkEnd w:id="110"/>
    <w:p>
      <w:pPr>
        <w:ind w:firstLine="613"/>
        <w:spacing w:after="0" w:line="282" w:lineRule="auto"/>
        <w:rPr>
          <w:sz w:val="20"/>
          <w:szCs w:val="20"/>
          <w:color w:val="auto"/>
        </w:rPr>
      </w:pPr>
      <w:r>
        <w:rPr>
          <w:rFonts w:ascii="Times New Roman" w:cs="Times New Roman" w:eastAsia="Times New Roman" w:hAnsi="Times New Roman"/>
          <w:sz w:val="17"/>
          <w:szCs w:val="17"/>
          <w:color w:val="auto"/>
        </w:rPr>
        <w:t>We have agreed to pay a non-accountable expense allowance to the underwriters equal to 1% of the gross proceeds received in this offering (excluding proceeds received from exercise of the underwriters’ over-allotment option).</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addition, we have agreed to reimburse the representative for (i) fees and expenses of legal counsel to the underwriters in an amount not to exceed $125,000; (ii) fees and expenses related to the use of Ipreo’s book building, prospectus tracking and compliance software for the offering in the amount of $21,000;</w:t>
      </w:r>
    </w:p>
    <w:p>
      <w:pPr>
        <w:spacing w:after="0" w:line="1" w:lineRule="exact"/>
        <w:rPr>
          <w:sz w:val="20"/>
          <w:szCs w:val="20"/>
          <w:color w:val="auto"/>
        </w:rPr>
      </w:pPr>
    </w:p>
    <w:p>
      <w:pPr>
        <w:jc w:val="both"/>
        <w:ind w:firstLine="2"/>
        <w:spacing w:after="0" w:line="254" w:lineRule="auto"/>
        <w:tabs>
          <w:tab w:leader="none" w:pos="30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expenses and disbursements relating to the registration, qualification or exemption of such shares under the securities laws of such foreign jurisdictions as the representative may reasonably designate; (iv) all fees, expenses and disbursements relating to the registration, qualification or exemption of such shares under the “blue sky” securities laws of such states, if applicable, and other jurisdictions as the representative may reasonably designate; and (v) up to $10,000 for actual accountable “road show” expenses.</w:t>
      </w:r>
    </w:p>
    <w:p>
      <w:pPr>
        <w:spacing w:after="0" w:line="17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estimate that the total expenses of the offering payable by us, excluding the total underwriting discount and non-accountable expense allowance, will be approximately $325,000.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Representative’s Warrants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have agreed to issue to the representative or its designees warrants to purchase up to a total of 666,680 (or 766,680 if the over-allotment option is exercised in full) shares of our common stock (4% of the aggregate number of shares of common stock sold in this offering), or the Representative’s Warrants. The Representative’s Warrants will be exercisable at a per share exercise price equal to 125% of the public offering price per share of the shares of common stock sold in this offering. The Representative’s Warrants are exercisable at any time, from time to time, in whole or in part, during the four and one half year period commencing 180 days from the commencement of sales of the securities in this offering.</w:t>
      </w:r>
    </w:p>
    <w:p>
      <w:pPr>
        <w:spacing w:after="0" w:line="174"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The Representative’s Warrants and the shares of common stock underlying the Representative’s Warrants have been deemed compensation by FINRA and are, therefore, subject to a 180-day lock-up pursuant to FINRA Rule 5110(e)(1). The representative or (permitted assignees under Rule 5110(e)(2)) will not sell, transfer, assign, pledge, or hypothecate the Representative’s Warrants or the securities underlying the Representative’s Warrants, nor will the representative engage in any hedging, short sale, derivative, put, or call transaction that would result in the effective economic disposition of the Representative’s Warrants or the underlying shares of common stock for a period of 180 days from the effective date of the registration statement. Additionally, the Representative’s Warrants may not be sold, transferred, assigned, pledged, or hypothecated for a 180-day period following the effective date of the registration statement, except to any underwriter and selected dealer participating in the offering and their bona fide officers or partners. The Representative’s Warrants will provide for adjustment in the number and price of the Representative’s Warrants and the shares of common stock underlying the Representative’s Warrants in the event of recapitalization, merger, stock split, or other structural transaction, or a future financing undertaken by us. The Representative’s Warrants will provide for registration rights (including a one-time demand registration right and unlimited piggyback rights) consistent with FINRA Rule 5110.05. The demand for registration may be made at any time beginning on the initial exercise date of the Representative’s Warrants and expiring on the fifth anniversary of the effective date of this registration statement in accordance with FINRA Rule 5110(g)(8)(C). In addition to the one-time demand registration right, the Representative’s Warrants shall have unlimited piggyback rights, for a period of no more than two years from the initial exercise date of the Representative’s Warrants in accordance with FINRA Rule 5110(g)(8)(D). The Representative’s Warrants will also provide for customary anti-dilution provisions (for stock dividends and splits and recapitalizations) consistent with FINRA Rule 5110, and further, the number of shares underlying the Representative’s Warrants shall be reduced if necessary to comply with FINRA rules and regulations.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color w:val="auto"/>
        </w:rPr>
        <w:t>Discretionary Accounts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underwriters do not intend to confirm sales of the securities offered hereby to any accounts over which they have discretionary authority.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Each of our directors and officers have agreed, subject to certain exceptions, not to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six (6) months after the date of this prospectus, without the prior written consent of the representative. We, subject to certain exceptions, have agreed, subject to certain exceptions, not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three (3) months after the date of this prospectus, without the prior written consent of the representative.</w:t>
      </w:r>
    </w:p>
    <w:p>
      <w:pPr>
        <w:spacing w:after="0" w:line="17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Additionally, we agreed that for a period of six (6) months after this offering we will not directly or indirectly in any “at-the-market,” continuous equity, equity lines, or variable rate transaction, offer to sell, sell, contract to sell, grant any option to sell or otherwise dispose of shares of our capital stock or any securities convertible into or exercisable or exchangeable for our shares of capital stock, without the prior written consent of ThinkEquity.</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Following the expiration of the applicable lock-up period, all of the issued and outstanding shares of our common stock will be eligible for future sale, subject to the applicable volume, manner of sale, holding period, and other limitations of Rule 144.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To the extent permitted by law, we have agreed to indemnify the underwriters and its affiliates, stockholders, directors, officers, employees, members and controlling persons against certain liabilities, including liabilities under the Securities Act, and to contribute to payments that the underwriters may be required to make for these liabilities.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Offer, Sale and Distribution of Shares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websites maintained by one or more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 underwriters’ websites is not part of, nor incorporated by reference into, this prospectus or the registration statement of which this prospectus forms a part, has not been approved or endorsed by us or any underwriter in its capacity as underwriter, and should not be relied upon by investors.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t>Stabilization</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connection with this offering, the underwriters may engage in stabilizing transactions, over-allotment transactions, syndicate-covering transactions, penalty bids and purchases to cover positions created by short sales.</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Stabilizing transactions permit bids to purchase securities so long as the stabilizing bids do not exceed a specified maximum and are engaged in for the purpose of preventing or retarding a decline in the market price of the securities while the offering is in progress.</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Over-allotment transactions involve sales by the underwriters of securities in excess of the number of securities that underwriters are obligated to purchase. This creates a syndicate short position which may be either a covered short position or a naked short position. In a covered short position, the number of securities over-allotted by the underwriters is not greater than the number of securities that they may purchase in the over-allotment option. In a naked short position, the number of securities involved is greater than the number of securities in the over-allotment option. The underwriters may close out any short position by exercising their over-allotment option and/or purchasing securities in the open market.</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Syndicate covering transactions involve purchases of securities in the open market after the distribution has been completed in order to cover syndicate short positions. In determining the source of securities to close out the short position, the underwriters will consider, among other things, the price of securities available for purchase in the open market as compared with the price at which they may purchase securities through exercise of the over-allotment option. If the underwriters sell more securities than could be covered by exercise of the over-allotment option and, therefore, have a naked short position, the position can be closed out only by buying securities in the open market. A naked short position is more likely to be created if the underwriters are concerned that after pricing there could be downward pressure on the price of the securities in the open market that could adversely affect investors who purchase in the offering.</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Penalty bids permit the representative to reclaim a selling concession from a syndicate member when the securities originally sold by that syndicate member are purchased in stabilizing or syndicate covering transactions to cover syndicate short positions.</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These stabilizing transactions, syndicate covering transactions and penalty bids may have the effect of raising or maintaining the market price of our securities or preventing or retarding a decline in the market price of our securities. As a result, the price of our securities in the open market may be higher than it would otherwise be in the absence of these transactions. Neither we nor the underwriters make any representation or prediction as to the effect that the transactions described above may have on the price of our securities. These transactions may be effected on the NYSE American, in the over-the-counter market or otherwise and, if commenced, may be discontinued at any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Passive Market Making</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connection with this offering, underwriters and selling group members may engage in passive market making transactions in our common stock on the NYSE American or on the OTCQB in accordance with Rule 103 of Regulation M under the Exchange Act, during a period before the commencement of offers or sales of the securities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Certain of the underwriters and their affiliates may provide in the future, various advisory, investment and commercial banking and other services to us in the ordinary course of business, for which they may receive customary fees and commissions. However, we have not yet had, and have no present arrangements with any of the underwriters for any further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Restrictions Outside the United States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Australia</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China</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European Economic Area—Belgium, Germany, Luxembourg and Netherlands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information in this document has been prepared on the basis that all offers of securities will be made pursuant to an exemption under the Directive 2003/71/EC (“Prospectus Directive”), as implemented in Member States of the European Economic Area (each, a “Relevant Member State”), from the requirement to produce a prospectus for offers of securities.</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153" w:lineRule="exact"/>
        <w:rPr>
          <w:sz w:val="20"/>
          <w:szCs w:val="20"/>
          <w:color w:val="auto"/>
        </w:rPr>
      </w:pPr>
    </w:p>
    <w:p>
      <w:pPr>
        <w:ind w:left="920" w:hanging="305"/>
        <w:spacing w:after="0" w:line="282" w:lineRule="auto"/>
        <w:tabs>
          <w:tab w:leader="none" w:pos="9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legal entities that are authorized or regulated to operate in the financial markets or, if not so authorized or regulated, whose corporate purpose is solely to invest in securities;</w:t>
      </w:r>
    </w:p>
    <w:p>
      <w:pPr>
        <w:spacing w:after="0" w:line="153" w:lineRule="exact"/>
        <w:rPr>
          <w:rFonts w:ascii="Times New Roman" w:cs="Times New Roman" w:eastAsia="Times New Roman" w:hAnsi="Times New Roman"/>
          <w:sz w:val="17"/>
          <w:szCs w:val="17"/>
          <w:color w:val="auto"/>
        </w:rPr>
      </w:pPr>
    </w:p>
    <w:p>
      <w:pPr>
        <w:jc w:val="both"/>
        <w:ind w:left="920" w:hanging="305"/>
        <w:spacing w:after="0" w:line="266" w:lineRule="auto"/>
        <w:tabs>
          <w:tab w:leader="none" w:pos="9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14" w:name="page115"/>
    <w:bookmarkEnd w:id="114"/>
    <w:p>
      <w:pPr>
        <w:ind w:left="920" w:hanging="305"/>
        <w:spacing w:after="0" w:line="282" w:lineRule="auto"/>
        <w:tabs>
          <w:tab w:leader="none" w:pos="9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100 natural or legal persons (other than qualified investors within the meaning of Article 2(1)(e) of the Prospectus Directive) subject to obtaining the prior consent of the Company or any underwriter for any such offer; or</w:t>
      </w:r>
    </w:p>
    <w:p>
      <w:pPr>
        <w:spacing w:after="0" w:line="153"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3(2) of the Prospectus Directive, provided that no such offer of securities shall result in a requirement for the publication by the Company of a prospectus pursuant to Article 3 of the Prospectus Directive.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France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securities have not been offered or sold and will not be offered or sold, directly or indirectly, to the public in France.</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Israel</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this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color w:val="auto"/>
        </w:rPr>
        <w:t>Italy</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offering of the securities in the Republic of Italy has not been authorized by the Italian Securities and Exchange Commission (Commissione Nazionale per le Societa e la Borsa, or CONSOB),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(“Decree No. 58”), other than:</w:t>
      </w:r>
    </w:p>
    <w:p>
      <w:pPr>
        <w:spacing w:after="0" w:line="171" w:lineRule="exact"/>
        <w:rPr>
          <w:sz w:val="20"/>
          <w:szCs w:val="20"/>
          <w:color w:val="auto"/>
        </w:rPr>
      </w:pPr>
    </w:p>
    <w:p>
      <w:pPr>
        <w:ind w:left="920" w:hanging="305"/>
        <w:spacing w:after="0" w:line="282" w:lineRule="auto"/>
        <w:tabs>
          <w:tab w:leader="none" w:pos="9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Italian qualified investors (“Qualified Investors”), as defined in Article 100 of Decree no. 58 by reference to Article 34-ter of CONSOB Regulation no. 11971 of 14 May 1999, as amended (“Regulation no. 1197l”); and</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other circumstances that are exempt from the rules on public offer pursuant to Article 100 of Decree No. 58 and Regulation no. 1197l.</w:t>
      </w:r>
    </w:p>
    <w:p>
      <w:pPr>
        <w:spacing w:after="0" w:line="213"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Any offer, sale or delivery of the securities or distribution of any offer document relating to the securities in Italy (excluding placements where a Qualified Investor solicits an offer from the issuer) under the paragraphs above must be:</w:t>
      </w:r>
    </w:p>
    <w:p>
      <w:pPr>
        <w:spacing w:after="0" w:line="153" w:lineRule="exact"/>
        <w:rPr>
          <w:sz w:val="20"/>
          <w:szCs w:val="20"/>
          <w:color w:val="auto"/>
        </w:rPr>
      </w:pPr>
    </w:p>
    <w:p>
      <w:pPr>
        <w:ind w:left="920" w:hanging="305"/>
        <w:spacing w:after="0" w:line="282" w:lineRule="auto"/>
        <w:tabs>
          <w:tab w:leader="none" w:pos="9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compliance with all relevant Italian securities, tax and exchange controls and any other applicable laws.</w:t>
      </w:r>
    </w:p>
    <w:p>
      <w:pPr>
        <w:spacing w:after="0" w:line="21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Japan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Portugal</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t>Sweden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Switzerland</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document is personal to the recipient only and not for general circulation in Switzerland.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Arab Emirates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offer or invitation to subscribe for securities is valid or permitted in the Dubai International Financial Centre.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17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 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Greenberg Traurig, LLP, Irvine, California, will pass upon the validity of the shares of common stock offered hereby. Venable LLP, New York, New York, has acted as counsel for the underwriters in connection with certain legal matters related to this offering.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financial statements as of and for the fiscal years ended December 31, 2022 and 2021 included in this prospectus have been so included in reliance on the report of Grassi &amp; Co., CPAs, P.C., an independent registered public accounting firm, given on the authority of said firm as experts in auditing and accounting.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shares of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addition, we file annual, quarterly and current reports and proxy statements and other information with the SEC. Our SEC filings are available on the SEC’s website at www.sec.gov. These filings are also available free of charge to the public on, or accessible through, our corporate website at www.azitrainc.com. Our website and the information contained on, or that can be accessed through, our website is not deemed to be incorporated by reference in, and is not considered part of, this prospectus. You should not rely on any such information in making your decision whether to purchase our common stock.</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b w:val="1"/>
          <w:bCs w:val="1"/>
          <w:color w:val="auto"/>
        </w:rPr>
        <w:t>AZITRA,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Report of Independent Registered Public Accounting Firm (PCAOB ID 606)</w:t>
            </w:r>
          </w:p>
        </w:tc>
        <w:tc>
          <w:tcPr>
            <w:tcW w:w="3840" w:type="dxa"/>
            <w:vAlign w:val="bottom"/>
            <w:tcBorders>
              <w:bottom w:val="single" w:sz="8" w:color="CCEEFF"/>
            </w:tcBorders>
            <w:gridSpan w:val="6"/>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460" w:type="dxa"/>
            <w:vAlign w:val="bottom"/>
            <w:tcBorders>
              <w:bottom w:val="single" w:sz="8" w:color="0000EE"/>
            </w:tcBorders>
            <w:gridSpan w:val="3"/>
          </w:tcPr>
          <w:p>
            <w:pPr>
              <w:spacing w:after="0" w:line="166" w:lineRule="exact"/>
              <w:rPr>
                <w:sz w:val="20"/>
                <w:szCs w:val="20"/>
                <w:color w:val="auto"/>
              </w:rPr>
            </w:pPr>
            <w:r>
              <w:rPr>
                <w:rFonts w:ascii="Times New Roman" w:cs="Times New Roman" w:eastAsia="Times New Roman" w:hAnsi="Times New Roman"/>
                <w:sz w:val="17"/>
                <w:szCs w:val="17"/>
                <w:color w:val="0000EE"/>
                <w:w w:val="99"/>
              </w:rPr>
              <w:t>Balance Sheets as of December 31, 2022 and December 31, 2021</w:t>
            </w:r>
          </w:p>
        </w:tc>
        <w:tc>
          <w:tcPr>
            <w:tcW w:w="4620" w:type="dxa"/>
            <w:vAlign w:val="bottom"/>
            <w:gridSpan w:val="9"/>
          </w:tcPr>
          <w:p>
            <w:pPr>
              <w:spacing w:after="0"/>
              <w:rPr>
                <w:sz w:val="14"/>
                <w:szCs w:val="14"/>
                <w:color w:val="auto"/>
              </w:rPr>
            </w:pP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20" w:type="dxa"/>
            <w:vAlign w:val="bottom"/>
            <w:tcBorders>
              <w:bottom w:val="single" w:sz="8" w:color="0000EE"/>
            </w:tcBorders>
            <w:gridSpan w:val="4"/>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Statements of Operations for the years ended December 31, 2022 and 2021</w:t>
            </w:r>
          </w:p>
        </w:tc>
        <w:tc>
          <w:tcPr>
            <w:tcW w:w="3960" w:type="dxa"/>
            <w:vAlign w:val="bottom"/>
            <w:tcBorders>
              <w:bottom w:val="single" w:sz="8" w:color="CCEEFF"/>
            </w:tcBorders>
            <w:gridSpan w:val="8"/>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F-3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240" w:type="dxa"/>
            <w:vAlign w:val="bottom"/>
            <w:tcBorders>
              <w:bottom w:val="single" w:sz="8" w:color="0000EE"/>
            </w:tcBorders>
            <w:gridSpan w:val="11"/>
          </w:tcPr>
          <w:p>
            <w:pPr>
              <w:spacing w:after="0" w:line="166" w:lineRule="exact"/>
              <w:rPr>
                <w:sz w:val="20"/>
                <w:szCs w:val="20"/>
                <w:color w:val="auto"/>
              </w:rPr>
            </w:pPr>
            <w:r>
              <w:rPr>
                <w:rFonts w:ascii="Times New Roman" w:cs="Times New Roman" w:eastAsia="Times New Roman" w:hAnsi="Times New Roman"/>
                <w:sz w:val="17"/>
                <w:szCs w:val="17"/>
                <w:color w:val="0000EE"/>
                <w:w w:val="99"/>
              </w:rPr>
              <w:t>Statements of Changes in Stockholders’ Equity (Deficit) for the years ended December 31, 2022 and 2021</w:t>
            </w:r>
          </w:p>
        </w:tc>
        <w:tc>
          <w:tcPr>
            <w:tcW w:w="1840" w:type="dxa"/>
            <w:vAlign w:val="bottom"/>
          </w:tcPr>
          <w:p>
            <w:pPr>
              <w:spacing w:after="0"/>
              <w:rPr>
                <w:sz w:val="14"/>
                <w:szCs w:val="14"/>
                <w:color w:val="auto"/>
              </w:rPr>
            </w:pP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9080" w:type="dxa"/>
            <w:vAlign w:val="bottom"/>
            <w:gridSpan w:val="1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Statements of Cash Flows for the years ended December 31, 2022 and 2021</w:t>
            </w:r>
          </w:p>
        </w:tc>
        <w:tc>
          <w:tcPr>
            <w:tcW w:w="21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F-5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60" w:type="dxa"/>
            <w:vAlign w:val="bottom"/>
            <w:tcBorders>
              <w:top w:val="single" w:sz="8" w:color="0000EE"/>
            </w:tcBorders>
            <w:gridSpan w:val="5"/>
          </w:tcPr>
          <w:p>
            <w:pPr>
              <w:spacing w:after="0" w:line="166"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3920" w:type="dxa"/>
            <w:vAlign w:val="bottom"/>
            <w:tcBorders>
              <w:top w:val="single" w:sz="8" w:color="CCEEFF"/>
            </w:tcBorders>
            <w:gridSpan w:val="7"/>
          </w:tcPr>
          <w:p>
            <w:pPr>
              <w:spacing w:after="0"/>
              <w:rPr>
                <w:sz w:val="15"/>
                <w:szCs w:val="15"/>
                <w:color w:val="auto"/>
              </w:rPr>
            </w:pPr>
          </w:p>
        </w:tc>
        <w:tc>
          <w:tcPr>
            <w:tcW w:w="216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F-6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40" w:type="dxa"/>
            <w:vAlign w:val="bottom"/>
            <w:tcBorders>
              <w:top w:val="single" w:sz="8" w:color="0000EE"/>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9080" w:type="dxa"/>
            <w:vAlign w:val="bottom"/>
            <w:gridSpan w:val="12"/>
          </w:tcPr>
          <w:p>
            <w:pPr>
              <w:spacing w:after="0" w:line="166" w:lineRule="exact"/>
              <w:rPr>
                <w:sz w:val="20"/>
                <w:szCs w:val="20"/>
                <w:color w:val="auto"/>
              </w:rPr>
            </w:pPr>
            <w:r>
              <w:rPr>
                <w:rFonts w:ascii="Times New Roman" w:cs="Times New Roman" w:eastAsia="Times New Roman" w:hAnsi="Times New Roman"/>
                <w:sz w:val="17"/>
                <w:szCs w:val="17"/>
                <w:color w:val="0000EE"/>
              </w:rPr>
              <w:t>Balance Sheets as of September 30, 2023 (Unaudited) and December 31, 2022</w:t>
            </w: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620" w:type="dxa"/>
            <w:vAlign w:val="bottom"/>
            <w:tcBorders>
              <w:bottom w:val="single" w:sz="8" w:color="0000EE"/>
            </w:tcBorders>
            <w:gridSpan w:val="8"/>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Statements of Operations for the nine months ended September 30, 2023 and 2022</w:t>
            </w:r>
          </w:p>
        </w:tc>
        <w:tc>
          <w:tcPr>
            <w:tcW w:w="3460" w:type="dxa"/>
            <w:vAlign w:val="bottom"/>
            <w:tcBorders>
              <w:bottom w:val="single" w:sz="8" w:color="CCEEFF"/>
            </w:tcBorders>
            <w:gridSpan w:val="4"/>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F-25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180" w:type="dxa"/>
            <w:vAlign w:val="bottom"/>
            <w:tcBorders>
              <w:bottom w:val="single" w:sz="8" w:color="0000EE"/>
            </w:tcBorders>
            <w:gridSpan w:val="10"/>
          </w:tcPr>
          <w:p>
            <w:pPr>
              <w:spacing w:after="0" w:line="166" w:lineRule="exact"/>
              <w:rPr>
                <w:sz w:val="20"/>
                <w:szCs w:val="20"/>
                <w:color w:val="auto"/>
              </w:rPr>
            </w:pPr>
            <w:r>
              <w:rPr>
                <w:rFonts w:ascii="Times New Roman" w:cs="Times New Roman" w:eastAsia="Times New Roman" w:hAnsi="Times New Roman"/>
                <w:sz w:val="17"/>
                <w:szCs w:val="17"/>
                <w:color w:val="0000EE"/>
                <w:w w:val="99"/>
              </w:rPr>
              <w:t>Statements of Stockholders’ Equity for the nine months ended September 30, 2023 and 2022 (Unaudited)</w:t>
            </w:r>
          </w:p>
        </w:tc>
        <w:tc>
          <w:tcPr>
            <w:tcW w:w="1900" w:type="dxa"/>
            <w:vAlign w:val="bottom"/>
            <w:gridSpan w:val="2"/>
          </w:tcPr>
          <w:p>
            <w:pPr>
              <w:spacing w:after="0"/>
              <w:rPr>
                <w:sz w:val="14"/>
                <w:szCs w:val="14"/>
                <w:color w:val="auto"/>
              </w:rPr>
            </w:pP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680" w:type="dxa"/>
            <w:vAlign w:val="bottom"/>
            <w:tcBorders>
              <w:bottom w:val="single" w:sz="8" w:color="0000EE"/>
            </w:tcBorders>
            <w:gridSpan w:val="9"/>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Statements of Cash Flows for the nine months ended September 30, 2023 and 2022</w:t>
            </w:r>
          </w:p>
        </w:tc>
        <w:tc>
          <w:tcPr>
            <w:tcW w:w="3400" w:type="dxa"/>
            <w:vAlign w:val="bottom"/>
            <w:tcBorders>
              <w:bottom w:val="single" w:sz="8" w:color="CCEEFF"/>
            </w:tcBorders>
            <w:gridSpan w:val="3"/>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F-27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080" w:type="dxa"/>
            <w:vAlign w:val="bottom"/>
            <w:gridSpan w:val="12"/>
          </w:tcPr>
          <w:p>
            <w:pPr>
              <w:spacing w:after="0" w:line="166" w:lineRule="exact"/>
              <w:rPr>
                <w:sz w:val="20"/>
                <w:szCs w:val="20"/>
                <w:color w:val="auto"/>
              </w:rPr>
            </w:pPr>
            <w:r>
              <w:rPr>
                <w:rFonts w:ascii="Times New Roman" w:cs="Times New Roman" w:eastAsia="Times New Roman" w:hAnsi="Times New Roman"/>
                <w:sz w:val="17"/>
                <w:szCs w:val="17"/>
                <w:color w:val="0000EE"/>
              </w:rPr>
              <w:t>Notes to Unaudited Financial Statements</w:t>
            </w: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780" w:type="dxa"/>
            <w:vAlign w:val="bottom"/>
            <w:tcBorders>
              <w:top w:val="single" w:sz="8" w:color="0000EE"/>
              <w:bottom w:val="single" w:sz="8" w:color="auto"/>
            </w:tcBorders>
            <w:gridSpan w:val="2"/>
          </w:tcPr>
          <w:p>
            <w:pPr>
              <w:spacing w:after="0"/>
              <w:rPr>
                <w:sz w:val="24"/>
                <w:szCs w:val="24"/>
                <w:color w:val="auto"/>
              </w:rPr>
            </w:pPr>
          </w:p>
        </w:tc>
        <w:tc>
          <w:tcPr>
            <w:tcW w:w="4400" w:type="dxa"/>
            <w:vAlign w:val="bottom"/>
            <w:tcBorders>
              <w:bottom w:val="single" w:sz="8" w:color="auto"/>
            </w:tcBorders>
            <w:gridSpan w:val="8"/>
          </w:tcPr>
          <w:p>
            <w:pPr>
              <w:jc w:val="right"/>
              <w:ind w:right="1440"/>
              <w:spacing w:after="0"/>
              <w:rPr>
                <w:sz w:val="20"/>
                <w:szCs w:val="20"/>
                <w:color w:val="auto"/>
              </w:rPr>
            </w:pPr>
            <w:r>
              <w:rPr>
                <w:rFonts w:ascii="Times New Roman" w:cs="Times New Roman" w:eastAsia="Times New Roman" w:hAnsi="Times New Roman"/>
                <w:sz w:val="17"/>
                <w:szCs w:val="17"/>
                <w:color w:val="auto"/>
              </w:rPr>
              <w:t>115</w:t>
            </w: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9" w:right="339" w:bottom="1440" w:gutter="0" w:footer="0" w:header="0"/>
        </w:sectPr>
      </w:pPr>
    </w:p>
    <w:bookmarkStart w:id="119" w:name="page120"/>
    <w:bookmarkEnd w:id="119"/>
    <w:p>
      <w:pPr>
        <w:ind w:left="288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Azitra,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Branford, 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balance sheets of Azitra, Inc. (the “Company”) as of December 31, 2022 and 2021, and the related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Substantial Doubt Regarding the Company’s Ability to Continue as a Going Concern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Azitra, Inc., will continue as a going concern. As discussed in Note 1 to the financial statements, the Company’s significant operating losses raise substantial doubt about its ability to continue as a going concern. Management’s evaluation of the events and conditions, and management’s plans regarding those matters, are also described in Note 1. The financial statements do not include any adjustments that might result from the outcome of this uncertainty.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Grassi &amp; CO., CPAs, P.C.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Jericho,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2023, except for Notes 9, 10, 11, 14, and 19, as to which the date is June 13, 2023.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Tax credits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Income tax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Deferred offering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Prepaid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current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assets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Operating lease right-of-use asset</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Intangible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Deferred patent costs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other assets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Sheets</w:t>
      </w:r>
    </w:p>
    <w:p>
      <w:pPr>
        <w:spacing w:after="0" w:line="20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9" w:lineRule="exact"/>
        <w:rPr>
          <w:sz w:val="20"/>
          <w:szCs w:val="20"/>
          <w:color w:val="auto"/>
        </w:rPr>
      </w:pPr>
    </w:p>
    <w:tbl>
      <w:tblPr>
        <w:tblLayout w:type="fixed"/>
        <w:tblInd w:w="1880" w:type="dxa"/>
        <w:tblCellMar>
          <w:top w:w="0" w:type="dxa"/>
          <w:left w:w="0" w:type="dxa"/>
          <w:bottom w:w="0" w:type="dxa"/>
          <w:right w:w="0" w:type="dxa"/>
        </w:tblCellMar>
      </w:tblPr>
      <w:tr>
        <w:trPr>
          <w:trHeight w:val="228"/>
        </w:trPr>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592"/>
        </w:trPr>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3,492,656</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8,044,262</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182,820</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160,867</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69,666</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173,311</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13,722</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216,886</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160,133</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110,289</w:t>
            </w:r>
          </w:p>
        </w:tc>
      </w:tr>
      <w:tr>
        <w:trPr>
          <w:trHeight w:val="226"/>
        </w:trPr>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4,135,883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8,488,729</w:t>
            </w:r>
          </w:p>
        </w:tc>
      </w:tr>
      <w:tr>
        <w:trPr>
          <w:trHeight w:val="408"/>
        </w:trPr>
        <w:tc>
          <w:tcPr>
            <w:tcW w:w="44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846,958</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946,681</w:t>
            </w:r>
          </w:p>
        </w:tc>
      </w:tr>
      <w:tr>
        <w:trPr>
          <w:trHeight w:val="591"/>
        </w:trPr>
        <w:tc>
          <w:tcPr>
            <w:tcW w:w="44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47,507</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48,201</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1,116,697</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219,567</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97,693</w:t>
            </w:r>
          </w:p>
        </w:tc>
      </w:tr>
      <w:tr>
        <w:trPr>
          <w:trHeight w:val="230"/>
        </w:trPr>
        <w:tc>
          <w:tcPr>
            <w:tcW w:w="44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800,831</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620,029</w:t>
            </w:r>
          </w:p>
        </w:tc>
      </w:tr>
      <w:tr>
        <w:trPr>
          <w:trHeight w:val="210"/>
        </w:trPr>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2,184,602</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765,923</w:t>
            </w:r>
          </w:p>
        </w:tc>
      </w:tr>
      <w:tr>
        <w:trPr>
          <w:trHeight w:val="434"/>
        </w:trPr>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7,167,443</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10,201,333</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-2681605</wp:posOffset>
            </wp:positionV>
            <wp:extent cx="7139940" cy="1377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-2414270</wp:posOffset>
            </wp:positionV>
            <wp:extent cx="7139940" cy="1295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-2155190</wp:posOffset>
            </wp:positionV>
            <wp:extent cx="7139940" cy="1295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-1895475</wp:posOffset>
            </wp:positionV>
            <wp:extent cx="7139940" cy="1295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-1636395</wp:posOffset>
            </wp:positionV>
            <wp:extent cx="7139940" cy="1295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-1377315</wp:posOffset>
            </wp:positionV>
            <wp:extent cx="7139940" cy="1295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-1117600</wp:posOffset>
            </wp:positionV>
            <wp:extent cx="7139940" cy="1295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-858520</wp:posOffset>
            </wp:positionV>
            <wp:extent cx="7139940" cy="1295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-598805</wp:posOffset>
            </wp:positionV>
            <wp:extent cx="713994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9940" cy="14605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-307340</wp:posOffset>
            </wp:positionV>
            <wp:extent cx="7139940" cy="1377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9940" cy="1377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80" w:space="720"/>
            <w:col w:w="6140"/>
          </w:cols>
          <w:pgMar w:left="320" w:top="659"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6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convertible preferred stock, and stockholders’ deficit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784,687</w:t>
            </w:r>
          </w:p>
        </w:tc>
        <w:tc>
          <w:tcPr>
            <w:tcW w:w="5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717,800</w:t>
            </w: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operating lease liability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287,384</w:t>
            </w:r>
          </w:p>
        </w:tc>
        <w:tc>
          <w:tcPr>
            <w:tcW w:w="5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 payable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1,302</w:t>
            </w: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993,961</w:t>
            </w:r>
          </w:p>
        </w:tc>
        <w:tc>
          <w:tcPr>
            <w:tcW w:w="5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475,485</w:t>
            </w:r>
          </w:p>
        </w:tc>
        <w:tc>
          <w:tcPr>
            <w:tcW w:w="0" w:type="dxa"/>
            <w:vAlign w:val="bottom"/>
          </w:tcPr>
          <w:p>
            <w:pPr>
              <w:spacing w:after="0"/>
              <w:rPr>
                <w:sz w:val="1"/>
                <w:szCs w:val="1"/>
                <w:color w:val="auto"/>
              </w:rPr>
            </w:pPr>
          </w:p>
        </w:tc>
      </w:tr>
      <w:tr>
        <w:trPr>
          <w:trHeight w:val="222"/>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liabilities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156,000</w:t>
            </w:r>
          </w:p>
        </w:tc>
        <w:tc>
          <w:tcPr>
            <w:tcW w:w="5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15,000</w:t>
            </w:r>
          </w:p>
        </w:tc>
        <w:tc>
          <w:tcPr>
            <w:tcW w:w="0" w:type="dxa"/>
            <w:vAlign w:val="bottom"/>
          </w:tcPr>
          <w:p>
            <w:pPr>
              <w:spacing w:after="0"/>
              <w:rPr>
                <w:sz w:val="1"/>
                <w:szCs w:val="1"/>
                <w:color w:val="auto"/>
              </w:rPr>
            </w:pPr>
          </w:p>
        </w:tc>
      </w:tr>
      <w:tr>
        <w:trPr>
          <w:trHeight w:val="204"/>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2,222,032</w:t>
            </w: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1,209,587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Long-term operating lease liability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840,896</w:t>
            </w:r>
          </w:p>
        </w:tc>
        <w:tc>
          <w:tcPr>
            <w:tcW w:w="5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70,283</w:t>
            </w:r>
          </w:p>
        </w:tc>
        <w:tc>
          <w:tcPr>
            <w:tcW w:w="58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71,104</w:t>
            </w:r>
          </w:p>
        </w:tc>
        <w:tc>
          <w:tcPr>
            <w:tcW w:w="0" w:type="dxa"/>
            <w:vAlign w:val="bottom"/>
          </w:tcPr>
          <w:p>
            <w:pPr>
              <w:spacing w:after="0"/>
              <w:rPr>
                <w:sz w:val="1"/>
                <w:szCs w:val="1"/>
                <w:color w:val="auto"/>
              </w:rPr>
            </w:pPr>
          </w:p>
        </w:tc>
      </w:tr>
      <w:tr>
        <w:trPr>
          <w:trHeight w:val="237"/>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Convertible notes payable, net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6,600,000</w:t>
            </w:r>
          </w:p>
        </w:tc>
        <w:tc>
          <w:tcPr>
            <w:tcW w:w="5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992,019</w:t>
            </w:r>
          </w:p>
        </w:tc>
        <w:tc>
          <w:tcPr>
            <w:tcW w:w="0" w:type="dxa"/>
            <w:vAlign w:val="bottom"/>
          </w:tcPr>
          <w:p>
            <w:pPr>
              <w:spacing w:after="0"/>
              <w:rPr>
                <w:sz w:val="1"/>
                <w:szCs w:val="1"/>
                <w:color w:val="auto"/>
              </w:rPr>
            </w:pPr>
          </w:p>
        </w:tc>
      </w:tr>
      <w:tr>
        <w:trPr>
          <w:trHeight w:val="190"/>
        </w:trPr>
        <w:tc>
          <w:tcPr>
            <w:tcW w:w="686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top w:val="single" w:sz="8" w:color="CCEEFF"/>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9,733,211</w:t>
            </w:r>
          </w:p>
        </w:tc>
        <w:tc>
          <w:tcPr>
            <w:tcW w:w="34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2,272,710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preferred stock:</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860" w:type="dxa"/>
            <w:vAlign w:val="bottom"/>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A convertible preferred stock; $0.0001 par value; 205,385 shares authorized at December</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31, 2022 and 2021; 205,385 shares issued and outstanding at December 31, 2022 and 2021;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3,272,944</w:t>
            </w: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liquidation value of $3,337,506 as of December 31, 2022 and 2021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3,272,944</w:t>
            </w:r>
          </w:p>
        </w:tc>
        <w:tc>
          <w:tcPr>
            <w:tcW w:w="0" w:type="dxa"/>
            <w:vAlign w:val="bottom"/>
          </w:tcPr>
          <w:p>
            <w:pPr>
              <w:spacing w:after="0"/>
              <w:rPr>
                <w:sz w:val="1"/>
                <w:szCs w:val="1"/>
                <w:color w:val="auto"/>
              </w:rPr>
            </w:pPr>
          </w:p>
        </w:tc>
      </w:tr>
      <w:tr>
        <w:trPr>
          <w:trHeight w:val="188"/>
        </w:trPr>
        <w:tc>
          <w:tcPr>
            <w:tcW w:w="686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A-1 convertible preferred stock; $0.0001 par value; 380,657 shares authorized at</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2022 and 2021; 380,657 shares issued and outstanding at December 31, 2022 and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2021; liquidation value of $14,274,638 as of December 31, 2022 and 2021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14,100,533</w:t>
            </w:r>
          </w:p>
        </w:tc>
        <w:tc>
          <w:tcPr>
            <w:tcW w:w="0" w:type="dxa"/>
            <w:vAlign w:val="bottom"/>
          </w:tcPr>
          <w:p>
            <w:pPr>
              <w:spacing w:after="0"/>
              <w:rPr>
                <w:sz w:val="1"/>
                <w:szCs w:val="1"/>
                <w:color w:val="auto"/>
              </w:rPr>
            </w:pPr>
          </w:p>
        </w:tc>
      </w:tr>
      <w:tr>
        <w:trPr>
          <w:trHeight w:val="188"/>
        </w:trPr>
        <w:tc>
          <w:tcPr>
            <w:tcW w:w="6860" w:type="dxa"/>
            <w:vAlign w:val="bottom"/>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B convertible preferred stock; $0.0001 par value; 851,108 and 392,000 shares authorized</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 December 31, 2022 and 2021, respectively; 391,303 shares issued and outstanding at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December 31, 2022 and 2021; liquidation value of $17,000,159 as of December 31, 2022 and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16,321,065</w:t>
            </w: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16,321,065</w:t>
            </w:r>
          </w:p>
        </w:tc>
        <w:tc>
          <w:tcPr>
            <w:tcW w:w="0" w:type="dxa"/>
            <w:vAlign w:val="bottom"/>
          </w:tcPr>
          <w:p>
            <w:pPr>
              <w:spacing w:after="0"/>
              <w:rPr>
                <w:sz w:val="1"/>
                <w:szCs w:val="1"/>
                <w:color w:val="auto"/>
              </w:rPr>
            </w:pPr>
          </w:p>
        </w:tc>
      </w:t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86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Common stock; $0.0001 par value; 100,000,000 authorized at December 31, 2022 and 2021,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respectively; 1,043,991 and 1,043,103 shares issued and outstanding at December 31, 2022 and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104</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2021, respectively</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1,054,138</w:t>
            </w:r>
          </w:p>
        </w:tc>
        <w:tc>
          <w:tcPr>
            <w:tcW w:w="5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868,163</w:t>
            </w:r>
          </w:p>
        </w:tc>
        <w:tc>
          <w:tcPr>
            <w:tcW w:w="0" w:type="dxa"/>
            <w:vAlign w:val="bottom"/>
          </w:tcPr>
          <w:p>
            <w:pPr>
              <w:spacing w:after="0"/>
              <w:rPr>
                <w:sz w:val="1"/>
                <w:szCs w:val="1"/>
                <w:color w:val="auto"/>
              </w:rPr>
            </w:pPr>
          </w:p>
        </w:tc>
      </w:tr>
      <w:tr>
        <w:trPr>
          <w:trHeight w:val="222"/>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(37,314,552)</w:t>
            </w:r>
          </w:p>
        </w:tc>
        <w:tc>
          <w:tcPr>
            <w:tcW w:w="5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(26,634,186)</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(36,260,310</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(25,765,919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convertible preferred stock, and stockholders’ deficit</w:t>
            </w:r>
          </w:p>
        </w:tc>
        <w:tc>
          <w:tcPr>
            <w:tcW w:w="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7,167,443</w:t>
            </w:r>
          </w:p>
        </w:tc>
        <w:tc>
          <w:tcPr>
            <w:tcW w:w="58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10,201,333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780"/>
              <w:spacing w:after="0"/>
              <w:rPr>
                <w:sz w:val="20"/>
                <w:szCs w:val="20"/>
                <w:color w:val="auto"/>
              </w:rPr>
            </w:pPr>
            <w:r>
              <w:rPr>
                <w:rFonts w:ascii="Times New Roman" w:cs="Times New Roman" w:eastAsia="Times New Roman" w:hAnsi="Times New Roman"/>
                <w:sz w:val="17"/>
                <w:szCs w:val="17"/>
                <w:i w:val="1"/>
                <w:iCs w:val="1"/>
                <w:color w:val="auto"/>
              </w:rPr>
              <w:t>See accompanying notes</w:t>
            </w: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86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7"/>
                <w:szCs w:val="17"/>
                <w:color w:val="auto"/>
              </w:rPr>
              <w:t>F-2</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type w:val="continuous"/>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revenue - related party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revenue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operating expenses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from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Employee retention credit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Forgiveness of Payroll Protection Program loan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expense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other income (expense)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before income taxes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benefit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on preferred stock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attributable to common shareholders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per share, basic and diluted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 average common stock outstanding, basic and diluted</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720"/>
        <w:spacing w:after="0"/>
        <w:rPr>
          <w:sz w:val="20"/>
          <w:szCs w:val="20"/>
          <w:color w:val="auto"/>
        </w:rPr>
      </w:pPr>
      <w:r>
        <w:rPr>
          <w:rFonts w:ascii="Times New Roman" w:cs="Times New Roman" w:eastAsia="Times New Roman" w:hAnsi="Times New Roman"/>
          <w:sz w:val="17"/>
          <w:szCs w:val="17"/>
          <w:color w:val="auto"/>
        </w:rPr>
        <w:t>Statements of Operations</w:t>
      </w:r>
    </w:p>
    <w:p>
      <w:pPr>
        <w:spacing w:after="0" w:line="20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29" w:lineRule="exact"/>
        <w:rPr>
          <w:sz w:val="20"/>
          <w:szCs w:val="20"/>
          <w:color w:val="auto"/>
        </w:rPr>
      </w:pPr>
    </w:p>
    <w:tbl>
      <w:tblPr>
        <w:tblLayout w:type="fixed"/>
        <w:tblInd w:w="22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284,000</w:t>
            </w:r>
          </w:p>
        </w:tc>
        <w:tc>
          <w:tcPr>
            <w:tcW w:w="340" w:type="dxa"/>
            <w:vAlign w:val="bottom"/>
          </w:tcPr>
          <w:p>
            <w:pPr>
              <w:spacing w:after="0"/>
              <w:rPr>
                <w:sz w:val="18"/>
                <w:szCs w:val="18"/>
                <w:color w:val="auto"/>
              </w:rPr>
            </w:pP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40" w:type="dxa"/>
            <w:vAlign w:val="bottom"/>
            <w:tcBorders>
              <w:bottom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284,000</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3"/>
          </w:tcPr>
          <w:p>
            <w:pPr>
              <w:jc w:val="right"/>
              <w:ind w:right="3"/>
              <w:spacing w:after="0"/>
              <w:rPr>
                <w:sz w:val="20"/>
                <w:szCs w:val="20"/>
                <w:color w:val="auto"/>
              </w:rPr>
            </w:pPr>
            <w:r>
              <w:rPr>
                <w:rFonts w:ascii="Times New Roman" w:cs="Times New Roman" w:eastAsia="Times New Roman" w:hAnsi="Times New Roman"/>
                <w:sz w:val="17"/>
                <w:szCs w:val="17"/>
                <w:color w:val="auto"/>
              </w:rPr>
              <w:t>110,000</w:t>
            </w:r>
          </w:p>
        </w:tc>
        <w:tc>
          <w:tcPr>
            <w:tcW w:w="20" w:type="dxa"/>
            <w:vAlign w:val="bottom"/>
          </w:tcPr>
          <w:p>
            <w:pPr>
              <w:spacing w:after="0"/>
              <w:rPr>
                <w:sz w:val="19"/>
                <w:szCs w:val="19"/>
                <w:color w:val="auto"/>
              </w:rPr>
            </w:pPr>
          </w:p>
        </w:tc>
      </w:tr>
      <w:tr>
        <w:trPr>
          <w:trHeight w:val="58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3,639,666</w:t>
            </w:r>
          </w:p>
        </w:tc>
        <w:tc>
          <w:tcPr>
            <w:tcW w:w="4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3,951,352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6,097,938</w:t>
            </w:r>
          </w:p>
        </w:tc>
        <w:tc>
          <w:tcPr>
            <w:tcW w:w="44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5,380,102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9,737,604</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9,331,454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(9,453,604)</w:t>
            </w:r>
          </w:p>
        </w:tc>
        <w:tc>
          <w:tcPr>
            <w:tcW w:w="4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(9,221,454)</w:t>
            </w:r>
          </w:p>
        </w:tc>
      </w:tr>
      <w:tr>
        <w:trPr>
          <w:trHeight w:val="59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4,818</w:t>
            </w:r>
          </w:p>
        </w:tc>
        <w:tc>
          <w:tcPr>
            <w:tcW w:w="4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8,759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(251,891)</w:t>
            </w:r>
          </w:p>
        </w:tc>
        <w:tc>
          <w:tcPr>
            <w:tcW w:w="440" w:type="dxa"/>
            <w:vAlign w:val="bottom"/>
          </w:tcPr>
          <w:p>
            <w:pPr>
              <w:spacing w:after="0"/>
              <w:rPr>
                <w:sz w:val="17"/>
                <w:szCs w:val="17"/>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(66,968)</w:t>
            </w: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65,849</w:t>
            </w:r>
          </w:p>
        </w:tc>
        <w:tc>
          <w:tcPr>
            <w:tcW w:w="440" w:type="dxa"/>
            <w:vAlign w:val="bottom"/>
          </w:tcPr>
          <w:p>
            <w:pPr>
              <w:spacing w:after="0"/>
              <w:rPr>
                <w:sz w:val="17"/>
                <w:szCs w:val="17"/>
                <w:color w:val="auto"/>
              </w:rPr>
            </w:pPr>
          </w:p>
        </w:tc>
        <w:tc>
          <w:tcPr>
            <w:tcW w:w="1500" w:type="dxa"/>
            <w:vAlign w:val="bottom"/>
            <w:gridSpan w:val="3"/>
          </w:tcPr>
          <w:p>
            <w:pPr>
              <w:jc w:val="right"/>
              <w:ind w:right="3"/>
              <w:spacing w:after="0"/>
              <w:rPr>
                <w:sz w:val="20"/>
                <w:szCs w:val="20"/>
                <w:color w:val="auto"/>
              </w:rPr>
            </w:pPr>
            <w:r>
              <w:rPr>
                <w:rFonts w:ascii="Times New Roman" w:cs="Times New Roman" w:eastAsia="Times New Roman" w:hAnsi="Times New Roman"/>
                <w:sz w:val="17"/>
                <w:szCs w:val="17"/>
                <w:color w:val="auto"/>
              </w:rPr>
              <w:t>112,141</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229,813</w:t>
            </w:r>
          </w:p>
        </w:tc>
        <w:tc>
          <w:tcPr>
            <w:tcW w:w="440" w:type="dxa"/>
            <w:vAlign w:val="bottom"/>
          </w:tcPr>
          <w:p>
            <w:pPr>
              <w:spacing w:after="0"/>
              <w:rPr>
                <w:sz w:val="18"/>
                <w:szCs w:val="18"/>
                <w:color w:val="auto"/>
              </w:rPr>
            </w:pPr>
          </w:p>
        </w:tc>
        <w:tc>
          <w:tcPr>
            <w:tcW w:w="15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232,506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(1,250,000)</w:t>
            </w:r>
          </w:p>
        </w:tc>
        <w:tc>
          <w:tcPr>
            <w:tcW w:w="440" w:type="dxa"/>
            <w:vAlign w:val="bottom"/>
          </w:tcPr>
          <w:p>
            <w:pPr>
              <w:spacing w:after="0"/>
              <w:rPr>
                <w:sz w:val="17"/>
                <w:szCs w:val="17"/>
                <w:color w:val="auto"/>
              </w:rPr>
            </w:pPr>
          </w:p>
        </w:tc>
        <w:tc>
          <w:tcPr>
            <w:tcW w:w="15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(25,351)</w:t>
            </w:r>
          </w:p>
        </w:tc>
        <w:tc>
          <w:tcPr>
            <w:tcW w:w="440" w:type="dxa"/>
            <w:vAlign w:val="bottom"/>
          </w:tcPr>
          <w:p>
            <w:pPr>
              <w:spacing w:after="0"/>
              <w:rPr>
                <w:sz w:val="21"/>
                <w:szCs w:val="21"/>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(4,659)</w:t>
            </w:r>
          </w:p>
        </w:tc>
      </w:tr>
      <w:tr>
        <w:trPr>
          <w:trHeight w:val="210"/>
        </w:trPr>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(1,226,762</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281,779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4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(8,939,675)</w:t>
            </w:r>
          </w:p>
        </w:tc>
      </w:tr>
      <w:tr>
        <w:trPr>
          <w:trHeight w:val="795"/>
        </w:trPr>
        <w:tc>
          <w:tcPr>
            <w:tcW w:w="440" w:type="dxa"/>
            <w:vAlign w:val="bottom"/>
            <w:gridSpan w:val="2"/>
          </w:tcPr>
          <w:p>
            <w:pPr>
              <w:jc w:val="right"/>
              <w:ind w:right="30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(8,939,675)</w:t>
            </w: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(2,768,984)</w:t>
            </w:r>
          </w:p>
        </w:tc>
        <w:tc>
          <w:tcPr>
            <w:tcW w:w="440" w:type="dxa"/>
            <w:vAlign w:val="bottom"/>
          </w:tcPr>
          <w:p>
            <w:pPr>
              <w:spacing w:after="0"/>
              <w:rPr>
                <w:sz w:val="21"/>
                <w:szCs w:val="21"/>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(2,768,984)</w:t>
            </w:r>
          </w:p>
        </w:tc>
      </w:tr>
      <w:tr>
        <w:trPr>
          <w:trHeight w:val="217"/>
        </w:trPr>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(13,449,350</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(11,708,659</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w w:val="83"/>
              </w:rPr>
              <w:t>)</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440" w:type="dxa"/>
            <w:vAlign w:val="bottom"/>
            <w:gridSpan w:val="2"/>
          </w:tcPr>
          <w:p>
            <w:pPr>
              <w:jc w:val="right"/>
              <w:ind w:right="30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(12.74)</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(11.20)</w:t>
            </w:r>
          </w:p>
        </w:tc>
      </w:tr>
      <w:tr>
        <w:trPr>
          <w:trHeight w:val="226"/>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1,055,457</w:t>
            </w:r>
          </w:p>
        </w:tc>
        <w:tc>
          <w:tcPr>
            <w:tcW w:w="4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1,045,766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-4051935</wp:posOffset>
            </wp:positionV>
            <wp:extent cx="713994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9940" cy="14605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-3768725</wp:posOffset>
            </wp:positionV>
            <wp:extent cx="7139940" cy="1295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-3509010</wp:posOffset>
            </wp:positionV>
            <wp:extent cx="7139940" cy="1295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-3233420</wp:posOffset>
            </wp:positionV>
            <wp:extent cx="713994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9940" cy="14605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-2950210</wp:posOffset>
            </wp:positionV>
            <wp:extent cx="7139940" cy="1295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-2690495</wp:posOffset>
            </wp:positionV>
            <wp:extent cx="7139940" cy="129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-2431415</wp:posOffset>
            </wp:positionV>
            <wp:extent cx="7139940" cy="1295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-2171700</wp:posOffset>
            </wp:positionV>
            <wp:extent cx="7139940" cy="1295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-1912620</wp:posOffset>
            </wp:positionV>
            <wp:extent cx="7139940" cy="1295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-1637030</wp:posOffset>
            </wp:positionV>
            <wp:extent cx="713994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9940" cy="14605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-1353185</wp:posOffset>
            </wp:positionV>
            <wp:extent cx="7139940" cy="1295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-1094105</wp:posOffset>
            </wp:positionV>
            <wp:extent cx="7139940" cy="1295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-834390</wp:posOffset>
            </wp:positionV>
            <wp:extent cx="7139940" cy="1295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-559435</wp:posOffset>
            </wp:positionV>
            <wp:extent cx="7139940" cy="153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9940" cy="15367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-259080</wp:posOffset>
            </wp:positionV>
            <wp:extent cx="7139940" cy="1295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163" w:lineRule="exact"/>
        <w:rPr>
          <w:sz w:val="20"/>
          <w:szCs w:val="20"/>
          <w:color w:val="auto"/>
        </w:rPr>
      </w:pPr>
    </w:p>
    <w:p>
      <w:pPr>
        <w:jc w:val="center"/>
        <w:ind w:right="472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15875</wp:posOffset>
            </wp:positionV>
            <wp:extent cx="713994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2">
            <w:col w:w="4340" w:space="420"/>
            <w:col w:w="6440"/>
          </w:cols>
          <w:pgMar w:left="320" w:top="659" w:right="37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Series A-1</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200" w:type="dxa"/>
            <w:vAlign w:val="bottom"/>
          </w:tcPr>
          <w:p>
            <w:pPr>
              <w:spacing w:after="0"/>
              <w:rPr>
                <w:sz w:val="20"/>
                <w:szCs w:val="20"/>
                <w:color w:val="auto"/>
              </w:rPr>
            </w:pPr>
          </w:p>
        </w:tc>
        <w:tc>
          <w:tcPr>
            <w:tcW w:w="16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9"/>
              </w:rPr>
              <w:t>Series A Convertible</w:t>
            </w:r>
          </w:p>
        </w:tc>
        <w:tc>
          <w:tcPr>
            <w:tcW w:w="174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Convertible</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Series B Convertible</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10"/>
        </w:trPr>
        <w:tc>
          <w:tcPr>
            <w:tcW w:w="1200" w:type="dxa"/>
            <w:vAlign w:val="bottom"/>
          </w:tcPr>
          <w:p>
            <w:pPr>
              <w:spacing w:after="0"/>
              <w:rPr>
                <w:sz w:val="18"/>
                <w:szCs w:val="18"/>
                <w:color w:val="auto"/>
              </w:rPr>
            </w:pPr>
          </w:p>
        </w:tc>
        <w:tc>
          <w:tcPr>
            <w:tcW w:w="1540" w:type="dxa"/>
            <w:vAlign w:val="bottom"/>
            <w:tcBorders>
              <w:top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140" w:type="dxa"/>
            <w:vAlign w:val="bottom"/>
          </w:tcPr>
          <w:p>
            <w:pPr>
              <w:spacing w:after="0"/>
              <w:rPr>
                <w:sz w:val="18"/>
                <w:szCs w:val="18"/>
                <w:color w:val="auto"/>
              </w:rPr>
            </w:pPr>
          </w:p>
        </w:tc>
        <w:tc>
          <w:tcPr>
            <w:tcW w:w="16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120" w:type="dxa"/>
            <w:vAlign w:val="bottom"/>
          </w:tcPr>
          <w:p>
            <w:pPr>
              <w:spacing w:after="0"/>
              <w:rPr>
                <w:sz w:val="18"/>
                <w:szCs w:val="18"/>
                <w:color w:val="auto"/>
              </w:rPr>
            </w:pPr>
          </w:p>
        </w:tc>
        <w:tc>
          <w:tcPr>
            <w:tcW w:w="162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140" w:type="dxa"/>
            <w:vAlign w:val="bottom"/>
          </w:tcPr>
          <w:p>
            <w:pPr>
              <w:spacing w:after="0"/>
              <w:rPr>
                <w:sz w:val="18"/>
                <w:szCs w:val="18"/>
                <w:color w:val="auto"/>
              </w:rPr>
            </w:pPr>
          </w:p>
        </w:tc>
        <w:tc>
          <w:tcPr>
            <w:tcW w:w="1580" w:type="dxa"/>
            <w:vAlign w:val="bottom"/>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Stockholders’</w:t>
            </w:r>
          </w:p>
        </w:tc>
      </w:tr>
      <w:tr>
        <w:trPr>
          <w:trHeight w:val="222"/>
        </w:trPr>
        <w:tc>
          <w:tcPr>
            <w:tcW w:w="1200" w:type="dxa"/>
            <w:vAlign w:val="bottom"/>
          </w:tcPr>
          <w:p>
            <w:pPr>
              <w:spacing w:after="0"/>
              <w:rPr>
                <w:sz w:val="19"/>
                <w:szCs w:val="19"/>
                <w:color w:val="auto"/>
              </w:rPr>
            </w:pPr>
          </w:p>
        </w:tc>
        <w:tc>
          <w:tcPr>
            <w:tcW w:w="7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80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w w:val="94"/>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Deficit</w:t>
            </w:r>
          </w:p>
        </w:tc>
      </w:tr>
      <w:tr>
        <w:trPr>
          <w:trHeight w:val="175"/>
        </w:trPr>
        <w:tc>
          <w:tcPr>
            <w:tcW w:w="120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Balance,</w:t>
            </w: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205,385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$ 3,272,944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$14,100,533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391,303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8"/>
              </w:rPr>
              <w:t>$16,321,065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1,025,353</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553,534</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(17,694,511)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(17,140,774)</w:t>
            </w:r>
          </w:p>
        </w:tc>
      </w:tr>
      <w:tr>
        <w:trPr>
          <w:trHeight w:val="188"/>
        </w:trPr>
        <w:tc>
          <w:tcPr>
            <w:tcW w:w="12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1"/>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306,055</w:t>
            </w:r>
          </w:p>
        </w:tc>
      </w:tr>
      <w:tr>
        <w:trPr>
          <w:trHeight w:val="188"/>
        </w:trPr>
        <w:tc>
          <w:tcPr>
            <w:tcW w:w="12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Exercise of</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17,750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8,475</w:t>
            </w:r>
          </w:p>
        </w:tc>
      </w:tr>
      <w:tr>
        <w:trPr>
          <w:trHeight w:val="222"/>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(8,939,675)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(8,939,675)</w:t>
            </w:r>
          </w:p>
        </w:tc>
      </w:tr>
      <w:tr>
        <w:trPr>
          <w:trHeight w:val="171"/>
        </w:trPr>
        <w:tc>
          <w:tcPr>
            <w:tcW w:w="12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w:t>
            </w: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0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3,272,944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16,321,065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1,043,103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868,163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(26,634,186)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(25,765,919)</w:t>
            </w:r>
          </w:p>
        </w:tc>
      </w:tr>
      <w:tr>
        <w:trPr>
          <w:trHeight w:val="184"/>
        </w:trPr>
        <w:tc>
          <w:tcPr>
            <w:tcW w:w="1200" w:type="dxa"/>
            <w:vAlign w:val="bottom"/>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Stock-based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5"/>
        </w:trPr>
        <w:tc>
          <w:tcPr>
            <w:tcW w:w="1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184,465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184,465</w:t>
            </w:r>
          </w:p>
        </w:tc>
      </w:tr>
      <w:tr>
        <w:trPr>
          <w:trHeight w:val="184"/>
        </w:trPr>
        <w:tc>
          <w:tcPr>
            <w:tcW w:w="12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Exercise of</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5"/>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888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1,510</w:t>
            </w:r>
          </w:p>
        </w:tc>
      </w:tr>
      <w:tr>
        <w:trPr>
          <w:trHeight w:val="222"/>
        </w:trPr>
        <w:tc>
          <w:tcPr>
            <w:tcW w:w="1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(10,680,366)</w:t>
            </w:r>
          </w:p>
        </w:tc>
      </w:tr>
      <w:tr>
        <w:trPr>
          <w:trHeight w:val="171"/>
        </w:trPr>
        <w:tc>
          <w:tcPr>
            <w:tcW w:w="12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w:t>
            </w: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0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0"/>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4"/>
              </w:rPr>
              <w:t>$ 3,272,944</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14,100,533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u w:val="single" w:color="auto"/>
                <w:color w:val="auto"/>
                <w:w w:val="98"/>
              </w:rPr>
              <w:t>$</w:t>
            </w:r>
            <w:r>
              <w:rPr>
                <w:rFonts w:ascii="Times New Roman" w:cs="Times New Roman" w:eastAsia="Times New Roman" w:hAnsi="Times New Roman"/>
                <w:sz w:val="17"/>
                <w:szCs w:val="17"/>
                <w:b w:val="1"/>
                <w:bCs w:val="1"/>
                <w:color w:val="auto"/>
                <w:w w:val="98"/>
              </w:rPr>
              <w:t>16,321,065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1,043,991</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1,054,138</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(37,314,552)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(36,260,310)</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5"/>
          </w:tcPr>
          <w:p>
            <w:pPr>
              <w:jc w:val="right"/>
              <w:ind w:right="1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2"/>
        </w:trPr>
        <w:tc>
          <w:tcPr>
            <w:tcW w:w="68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2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(8,939,675)</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and cash equivalents used by operating activities: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125,885</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84,772</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7,981</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7,632</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280,092</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interest on convertible notes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164,611</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59,181</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184,465</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306,055</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(821)</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(989)</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convertible notes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1,250,000</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Forgiveness of Payroll Protection Program loan</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(230,685)</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7,923</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(21,953)</w:t>
            </w: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(37,573)</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(49,844)</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163,952</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694</w:t>
            </w: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(919)</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 credits receivable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103,645</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231,745</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tax receivable</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(15,024)</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420,752</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282,976</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(268,509)</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 payable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(8,831)</w:t>
            </w:r>
          </w:p>
        </w:tc>
      </w:tr>
      <w:tr>
        <w:trPr>
          <w:trHeight w:val="222"/>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Contract liabilities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141,000</w:t>
            </w: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r>
      <w:tr>
        <w:trPr>
          <w:trHeight w:val="204"/>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and cash equivalents used by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(8,349,469)</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(8,067,359)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(33,101)</w:t>
            </w: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(446,136)</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4,250</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Capitalization of deferred patent costs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(180,802)</w:t>
            </w: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(196,267)</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Capitalization of license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(65,510)</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Capitalization of patent and trademark costs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(61,598)</w:t>
            </w:r>
          </w:p>
        </w:tc>
        <w:tc>
          <w:tcPr>
            <w:tcW w:w="4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(9,872)</w:t>
            </w:r>
          </w:p>
        </w:tc>
      </w:tr>
      <w:tr>
        <w:trPr>
          <w:trHeight w:val="204"/>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and cash equivalents used by investing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(336,761)</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(652,275)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convertible notes, net of issuance costs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4,350,000</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984,387</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(216,886)</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1,510</w:t>
            </w: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8,475</w:t>
            </w:r>
          </w:p>
        </w:tc>
      </w:tr>
      <w:tr>
        <w:trPr>
          <w:trHeight w:val="210"/>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and cash equivalents provided by financing activities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4,134,624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992,862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4"/>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(4,551,606)</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(7,726,772)</w:t>
            </w:r>
          </w:p>
        </w:tc>
      </w:tr>
      <w:tr>
        <w:trPr>
          <w:trHeight w:val="222"/>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8,044,262</w:t>
            </w: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15,771,034</w:t>
            </w:r>
          </w:p>
        </w:tc>
      </w:tr>
      <w:tr>
        <w:trPr>
          <w:trHeight w:val="217"/>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year</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3,492,656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8,044,262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4" w:name="page125"/>
    <w:bookmarkEnd w:id="124"/>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Nature of Operations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Azitra, Inc. was founded on January 2, 2014. It is a synthetic biology company focused on screening and genetically engineering microbes of the skin. The mission is to discover and develop novel therapeutics to create a new paradigm for treating skin disease. The Company’s discovery platform is screened for naturally occurring bacterial cells with beneficial effects. These microbes are then genomically sequenced and engineered to make cellular therapies, recombinant therapeutic proteins, peptides and small molecules for precision treatment of dermatology diseases.</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maintains a location in Montreal, Canada for certain research activities. This location and operations completed there remained consistent throughout 2021 and 2022. The Company also opened a manufacturing and laboratory space in Groton, Connecticut during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Matters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financial statements have been prepared on the going concern basis, which assumes that the Company will continue in operation for the foreseeable future and which contemplates the realization of assets and liquidation of liabilities in the normal course of business. However, management has identified the following conditions and events that created an uncertainty about the ability of the Company to continue as a going concern. As of and for the year ended December 31, 2022, the Company has an accumulated deficit of $37.3 million, a loss from operations of $9.5 million and used $8.6 million to fund operations. These factors among others raise substantial doubt about the Company’s ability to continue as a going concern.</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Management plans to continue to raise funds through equity and debt financing to fund operating and working capital needs, however, the Company will require a significant amount of additional funds to complete the development of its product and to fund additional losses which the Company expects to incur over the next few years. The Company is in an early clinical phase and therefore does not yet have product revenue. In 2022, the Company issued convertible notes resulting in net cash proceeds of $4.4 million (see Note 7). There can be no assurance that the Company will be successful in securing additional financing, if needed, to meet its operating needs.</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These conditions and events create an uncertainty about the ability of the Company to continue as a going concern through February 20, 2024 (one year after the date that the financial statements are available to be issued). The financial statements do not include any adjustments that might be necessary should the Company be unable to continue as a going concern.</w:t>
      </w:r>
    </w:p>
    <w:p>
      <w:pPr>
        <w:spacing w:after="0" w:line="163" w:lineRule="exact"/>
        <w:rPr>
          <w:sz w:val="20"/>
          <w:szCs w:val="20"/>
          <w:color w:val="auto"/>
        </w:rPr>
      </w:pPr>
    </w:p>
    <w:p>
      <w:pPr>
        <w:ind w:right="7880" w:firstLine="2"/>
        <w:spacing w:after="0" w:line="503" w:lineRule="auto"/>
        <w:tabs>
          <w:tab w:leader="none" w:pos="17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Accounting</w:t>
      </w:r>
    </w:p>
    <w:p>
      <w:pPr>
        <w:spacing w:after="0" w:line="1"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financial statements of the Company are prepared in accordance with United States generally accepted accounting principles.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preparation of the financial statement in conformity with accounting principles generally accepted in the United States of America requires management to make estimates and assumptions that affect the reported amounts of assets and liabilities at the date of the balance sheet. While management believes the estimates and assumptions used in the preparation of the financial statement are appropriate, actual results could differ from those estimates.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purposes of the balance sheets and statements of cash flows, the Company considers all cash on hand, demand deposits and all highly liquid investments with original maturities of three months or less to be cash equivalents.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5" w:name="page126"/>
    <w:bookmarkEnd w:id="125"/>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conditions. There was no allowance for doubtful accounts at December 31, 2022 or 2021. Accounts receivable are written off when deemed uncollectible. Recoveries of accounts receivable previously written off are recorded when received.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offering costs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capitalizes deferred offering costs, which primarily consist of direct, incremental legal, professional, accounting, and other third-party fees relating to the Company’s initial public offering. The deferred offering costs will be offset against IPO proceeds upon the consummation of an offering. Should the planned IPO prove to be unsuccessful, these deferred costs, as well as additional expenses to be incurred, will be charged to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Property and equipment are recorded at cost. Depreciation is computed using the straight-line method over the estimated useful lives, which range from 3 to 10 years. Expenditures for maintenance and repairs, which do not extend the economic useful life of the related assets, are charged to operations as incurred. Gains or losses on disposal of property and equipment are reflected in the statements of operations in the period of disposal.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of Use Assets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2016, the Financial Accounting Standards Board (“FASB”) issued ASU No. 2016-02, Leases (“Topic 842”). ASU 2016-02 requires lessees to present right-of-use (“ROU”) assets and lease liabilities on the balance sheet for all leases with terms longer than 12 months. See Note 2 – Recently Adopted Accounting Pronouncements.</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calculating the effect of ASU 2016-02, the Company elected the transition method thereby not restating comparable periods. The Company elected to account for non-lease components as part of the lease component to which they relate. Lease accounting involves significant judgments, including making estimates related to the lease term, lease payments, and discount rate. In accordance with the guidance, the Company recognized ROU assets and lease liabilities for all leases with a term greater than 12 months.</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has operating leases for buildings. Currently, the Company has 3 operating leases with a ROU asset and lease liability totaling $1,418,502 as of January 1, 2022. The basis, terms and conditions of the leases are determined by the individual agreements. The Company’s option to extend certain leases ranges from 36 – 52 months. All options to extend have been included in the calculation of the ROU asset and lease liability. The leases do not contain residual value guarantees, restrictions, or covenants that could incur additional financial obligations to the Company. There are no subleases, sale-leaseback, or related party transactions.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December 31, 2022, the Company had operating right-of-use assets with a net value of $1,116,697 and current and long-term operating lease liabilities of $287,384 and $840,896,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Intangible assets consist of trademarks and patents. All costs directly related to the filing and prosecution of patent and trademark applications are capitalized. Patents are amortized over their respective remaining useful lives upon formal approval. Trademarks have an indefinite life.</w:t>
      </w:r>
    </w:p>
    <w:p>
      <w:pPr>
        <w:spacing w:after="0" w:line="149"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The Company accounts for other indefinite life intangible assets in accordance ASC Topic 350, </w:t>
      </w:r>
      <w:r>
        <w:rPr>
          <w:rFonts w:ascii="Times New Roman" w:cs="Times New Roman" w:eastAsia="Times New Roman" w:hAnsi="Times New Roman"/>
          <w:sz w:val="17"/>
          <w:szCs w:val="17"/>
          <w:i w:val="1"/>
          <w:iCs w:val="1"/>
          <w:color w:val="auto"/>
        </w:rPr>
        <w:t>Goodwill and Other Intangible Assets</w:t>
      </w:r>
      <w:r>
        <w:rPr>
          <w:rFonts w:ascii="Times New Roman" w:cs="Times New Roman" w:eastAsia="Times New Roman" w:hAnsi="Times New Roman"/>
          <w:sz w:val="17"/>
          <w:szCs w:val="17"/>
          <w:color w:val="auto"/>
        </w:rPr>
        <w:t xml:space="preserve"> (ASC 350). ASC 350 requires that intangible assets that have indefinite lives are required to be tested at least annually for impairment or whenever events or changes in circumstances indicate that the carrying amount may not be recoverable. Intangible assets that have finite lives will continue to be amortized over their useful lives. No impairment losses relating to intangible assets were recorded in 2022 or 2021.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6" w:name="page127"/>
    <w:bookmarkEnd w:id="126"/>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Patent Costs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Deferred patent costs represent legal and filing expenses incurred related to the submission of patent applications for patents pending approval. These deferred costs will begin to be amortized over their estimated useful lives upon the formal approval of the patent. If the patent is not approved, the costs associated with the patent will be expensed in the year the patent was rejected. No impairment losses relating to deferred patent costs were recorded in the years ended December 31, 2022 and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In accordance with ASC Topic 360-10, </w:t>
      </w:r>
      <w:r>
        <w:rPr>
          <w:rFonts w:ascii="Times New Roman" w:cs="Times New Roman" w:eastAsia="Times New Roman" w:hAnsi="Times New Roman"/>
          <w:sz w:val="17"/>
          <w:szCs w:val="17"/>
          <w:i w:val="1"/>
          <w:iCs w:val="1"/>
          <w:color w:val="auto"/>
        </w:rPr>
        <w:t>Accounting for the Impairment or Disposal of Long-Lived Assets</w:t>
      </w:r>
      <w:r>
        <w:rPr>
          <w:rFonts w:ascii="Times New Roman" w:cs="Times New Roman" w:eastAsia="Times New Roman" w:hAnsi="Times New Roman"/>
          <w:sz w:val="17"/>
          <w:szCs w:val="17"/>
          <w:color w:val="auto"/>
        </w:rPr>
        <w:t xml:space="preserve"> (ASC 360-10), the Company’s policy is to review its long-lived assets for impairment whenever events or changes in circumstances indicate that the carrying amount of an asset may not be recoverable. In connection with this review, the Company also reevaluates the periods of depreciation for these assets. The Company recognizes an impairment loss when the sum of the undiscounted expected future cash flows from the use and eventual disposition of the asset is less than its carrying amount. If an asset is considered to be impaired, the impairment to be recognized is measured by the amount by which the carrying amount of the asset exceeds the fair value of the asset, which is determined using the present value of the net future operating cash flows generated by the asset.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Debt and Warrant Accounting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For issued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under Other Income/loss.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Debt</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When the Company issues debt with a conversion feature, it first assesses whether the conversion feature meets the requirements to be accounted for as stock settled debt. If it does not meet those requirements then it is assessed on whether the conversion feature should be bifurcated and treated as a derivative liability,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 An embedded equity-linked component that meets the definition of a derivative does not have to be separated from the host instrument if the component qualifies for the scope exception for certain contracts involving an issuer’s own equity. The scope exception applies if the contract is both a) indexed to its own stock; and b) classified in stockholders’ equity in its statement of financial position.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7" w:name="page128"/>
    <w:bookmarkEnd w:id="127"/>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Preferred Stock</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the Convertible Preferred stockholders have liquidation rights in the event of a deemed liquidation event that, in certain situations, are not solely within the control of the Company and would require the redemption of the then-outstanding Convertible Preferred Stock, the Company classifies the Convertible Preferred Stock in mezzanine equity on the balance sheet. Due to the fact that the occurrence of a deemed liquidation event is not currently probable, the carrying value of the Convertible Preferred Stock is not being accreted to its redemption value. Subsequent adjustments to the carrying value of the Convertible Preferred Stock would be made only when a deemed liquidation event becomes probable.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 xml:space="preserve">The Company follows the five steps to recognize revenue from contracts with customers under ASC 606, Revenue from Contracts with Customers (“ASC </w:t>
      </w:r>
      <w:r>
        <w:rPr>
          <w:rFonts w:ascii="Times New Roman" w:cs="Times New Roman" w:eastAsia="Times New Roman" w:hAnsi="Times New Roman"/>
          <w:sz w:val="17"/>
          <w:szCs w:val="17"/>
          <w:i w:val="1"/>
          <w:iCs w:val="1"/>
          <w:color w:val="auto"/>
        </w:rPr>
        <w:t>606”</w:t>
      </w:r>
      <w:r>
        <w:rPr>
          <w:rFonts w:ascii="Times New Roman" w:cs="Times New Roman" w:eastAsia="Times New Roman" w:hAnsi="Times New Roman"/>
          <w:sz w:val="17"/>
          <w:szCs w:val="17"/>
          <w:color w:val="auto"/>
        </w:rPr>
        <w:t>), which are:</w:t>
      </w:r>
    </w:p>
    <w:p>
      <w:pPr>
        <w:spacing w:after="0" w:line="149" w:lineRule="exact"/>
        <w:rPr>
          <w:sz w:val="20"/>
          <w:szCs w:val="20"/>
          <w:color w:val="auto"/>
        </w:rPr>
      </w:pPr>
    </w:p>
    <w:p>
      <w:pPr>
        <w:ind w:left="920" w:hanging="305"/>
        <w:spacing w:after="0"/>
        <w:tabs>
          <w:tab w:leader="none" w:pos="9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1: </w:t>
      </w:r>
      <w:r>
        <w:rPr>
          <w:rFonts w:ascii="Times New Roman" w:cs="Times New Roman" w:eastAsia="Times New Roman" w:hAnsi="Times New Roman"/>
          <w:sz w:val="17"/>
          <w:szCs w:val="17"/>
          <w:color w:val="auto"/>
        </w:rPr>
        <w:t>Identify the contract(s) with a customer</w:t>
      </w:r>
    </w:p>
    <w:p>
      <w:pPr>
        <w:spacing w:after="0" w:line="30"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2</w:t>
      </w:r>
      <w:r>
        <w:rPr>
          <w:rFonts w:ascii="Times New Roman" w:cs="Times New Roman" w:eastAsia="Times New Roman" w:hAnsi="Times New Roman"/>
          <w:sz w:val="17"/>
          <w:szCs w:val="17"/>
          <w:color w:val="auto"/>
        </w:rPr>
        <w:t>: Identify the performance obligations in the contract</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3: </w:t>
      </w:r>
      <w:r>
        <w:rPr>
          <w:rFonts w:ascii="Times New Roman" w:cs="Times New Roman" w:eastAsia="Times New Roman" w:hAnsi="Times New Roman"/>
          <w:sz w:val="17"/>
          <w:szCs w:val="17"/>
          <w:color w:val="auto"/>
        </w:rPr>
        <w:t>Determine the transaction price</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4: </w:t>
      </w:r>
      <w:r>
        <w:rPr>
          <w:rFonts w:ascii="Times New Roman" w:cs="Times New Roman" w:eastAsia="Times New Roman" w:hAnsi="Times New Roman"/>
          <w:sz w:val="17"/>
          <w:szCs w:val="17"/>
          <w:color w:val="auto"/>
        </w:rPr>
        <w:t>Allocate the transaction price to the performance obligations in the contract</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5</w:t>
      </w:r>
      <w:r>
        <w:rPr>
          <w:rFonts w:ascii="Times New Roman" w:cs="Times New Roman" w:eastAsia="Times New Roman" w:hAnsi="Times New Roman"/>
          <w:sz w:val="17"/>
          <w:szCs w:val="17"/>
          <w:color w:val="auto"/>
        </w:rPr>
        <w:t>: Recognize revenue when (or as) a performance obligation is satisfied</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generates service revenue through a joint development agreement with a research partner. The Company recognizes revenue related to the research and development aspects of the agreement over time using the input method as work is performed on the contract.</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also generates grant revenue, which represents monies received on contracts with various federal agencies and nonprofit research institutions for general research conducted by the Company to further their product development and are therefore considered contributions to the Company. The contracts are generally for periods of one year or more and can be cancelled by either party. The Company concluded that the grant arrangements do not meet the criteria to be treated as a collaborative arrangement under FASB ASC Topic 808 as the Company is the only active participant in the arrangement. The grant arrangements also do not meet the criteria for revenue recognition under Topic 606, as the U.S. Government would not meet the definition of a customer.</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Amounts earned under these grant contracts are recorded as a negative research &amp; development expense when eligible expenses are incurred and the right to payment is realizable or realized and earn The Company believes this policy is consistent with Topic 606, to ensure that recognition reflects the transfer of promised goods or services to customers in an amount that reflects the consideration that the Company expects to be entitled to in exchange for those goods or services, even though there is no exchange as defined in Topic 606. Additionally, the Company has determined that the recognition of amounts received as costs are incurred and amounts become realizable is analogous to the concept of transfer of control of a service over time under Topic 606.</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Receipts of grant awards in advance, which are payable back to the funding agency if not used in accordance with conditions in the grants related to allowable costs or receipt of funding from research partners related to service revenue arrangements before work is performed on the contract are classified as contract liabilities in the accompanying balance sheets.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The Company accounts for research and development costs in accordance with Accounting Standards Codification (ASC) subtopic 730-10, </w:t>
      </w:r>
      <w:r>
        <w:rPr>
          <w:rFonts w:ascii="Times New Roman" w:cs="Times New Roman" w:eastAsia="Times New Roman" w:hAnsi="Times New Roman"/>
          <w:sz w:val="17"/>
          <w:szCs w:val="17"/>
          <w:i w:val="1"/>
          <w:iCs w:val="1"/>
          <w:color w:val="auto"/>
        </w:rPr>
        <w:t>Research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Development</w:t>
      </w:r>
      <w:r>
        <w:rPr>
          <w:rFonts w:ascii="Times New Roman" w:cs="Times New Roman" w:eastAsia="Times New Roman" w:hAnsi="Times New Roman"/>
          <w:sz w:val="17"/>
          <w:szCs w:val="17"/>
          <w:color w:val="auto"/>
        </w:rPr>
        <w:t>. Accordingly, internal research and development costs are expensed as incurred. Research and development costs consist of costs related to labor,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and supplies. Research and development costs incurred were $5,920,538 and $5,380,102 during the years ended 2022 and 2021,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8" w:name="page129"/>
    <w:bookmarkEnd w:id="128"/>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At December 31, 2022 and 2021, the Company has a state tax credit receivable of $32,459 and $71,396, respectively, for pending refunds related to the selling of research and development tax credits back to the State of Connecticut. At December 31, 2022 and 2021, the Company has $28,925 and $89,855, respectively for pending refunds related to Canadian Scientific Research and Experimental Development credits. At December 31, 2022 and 2021, the Company has also recorded $8,282 and $12,060, respectively, related to refunds of Canadian Goods and Services Tax (GST) and Quebec Sales Tax (QST). Receipts of refunds are recorded in other income on the statements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in accordance with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(ASC 718). ASC 718 requires employee stock options and rights to purchase shares under stock participation plans to be accounted for at fair value. ASC 718 requires that compensation costs related to share-based payment transactions be recognized as operating expenses in the financial statements. Under this method, compensation costs for all awards granted or modified are measured at estimated fair value at date of grant and are included as compensation expense over the vesting period during which an employee provides service in exchange for the award. For awards with a performance condition that affects vesting, the Company recognizes compensation expense when it is determined probable that the performance condition will be achieved.</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uses a Black-Scholes option pricing model to determine fair value of its stock options. The Black-Scholes model includes various assumptions, including the value of the underlying common stock, the expected life of stock options, the expected volatility and the expected risk-free interest rate. These assumptions reflect the Company’s best estimates, but they involve inherent uncertainties based on market conditions generally outside of the control of the Company. As a result, if other assumptions had been used, stock-based compensation cost could have been materially impacted. Furthermore, if the Company uses different assumptions for future grants, stock-based compensation cost could be materially impacted in future periods.</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 xml:space="preserve">The Company accounts for equity instruments issued to non-employees in accordance with the provisions of ASC 718 as updated by Accounting Standards Update (ASU) No. 2018-07, </w:t>
      </w:r>
      <w:r>
        <w:rPr>
          <w:rFonts w:ascii="Times New Roman" w:cs="Times New Roman" w:eastAsia="Times New Roman" w:hAnsi="Times New Roman"/>
          <w:sz w:val="17"/>
          <w:szCs w:val="17"/>
          <w:i w:val="1"/>
          <w:iCs w:val="1"/>
          <w:color w:val="auto"/>
        </w:rPr>
        <w:t>Improvements to Nonemployee Share-Based Payment Accounting</w:t>
      </w:r>
      <w:r>
        <w:rPr>
          <w:rFonts w:ascii="Times New Roman" w:cs="Times New Roman" w:eastAsia="Times New Roman" w:hAnsi="Times New Roman"/>
          <w:sz w:val="17"/>
          <w:szCs w:val="17"/>
          <w:color w:val="auto"/>
        </w:rPr>
        <w:t>, which expands the scope of ASC 718 to include share based payment transactions to non-employees.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assumptions are used in valuing options issued using the Black-Scholes option pricing model:</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 The expected volatility of the Company’s shares is estimated based on the Company’s external valuation.</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of options is estimated using the simplified method which is based on the vesting period and contractual term for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or for each vesting-tranche for awards with graded vesting.</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Underlying Common Stock Value. </w:t>
      </w:r>
      <w:r>
        <w:rPr>
          <w:rFonts w:ascii="Times New Roman" w:cs="Times New Roman" w:eastAsia="Times New Roman" w:hAnsi="Times New Roman"/>
          <w:sz w:val="17"/>
          <w:szCs w:val="17"/>
          <w:color w:val="auto"/>
        </w:rPr>
        <w:t>The underlying common stock value of the Company’s shares is estimated by a third party valuation expert.</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Company bases the risk-free interest rate on the implied yield available on a U.S. Treasury note with terms equal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term of the underlying grant.</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Dividend Yield</w:t>
      </w:r>
      <w:r>
        <w:rPr>
          <w:rFonts w:ascii="Times New Roman" w:cs="Times New Roman" w:eastAsia="Times New Roman" w:hAnsi="Times New Roman"/>
          <w:sz w:val="17"/>
          <w:szCs w:val="17"/>
          <w:color w:val="auto"/>
        </w:rPr>
        <w:t>. The Black-Scholes valuation model calls for a single expected dividend yield as an input. The Company has not paid dividends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in the past nor does it expect to pay dividends on Common stock in the near future. As such, the Company uses a dividend yield percentage of zero.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9" w:name="page130"/>
    <w:bookmarkEnd w:id="129"/>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The Company uses the liability method of accounting for income taxes, as set forth in ASC 740, </w:t>
      </w:r>
      <w:r>
        <w:rPr>
          <w:rFonts w:ascii="Times New Roman" w:cs="Times New Roman" w:eastAsia="Times New Roman" w:hAnsi="Times New Roman"/>
          <w:sz w:val="17"/>
          <w:szCs w:val="17"/>
          <w:i w:val="1"/>
          <w:iCs w:val="1"/>
          <w:color w:val="auto"/>
        </w:rPr>
        <w:t>Accounting for Income Taxes</w:t>
      </w:r>
      <w:r>
        <w:rPr>
          <w:rFonts w:ascii="Times New Roman" w:cs="Times New Roman" w:eastAsia="Times New Roman" w:hAnsi="Times New Roman"/>
          <w:sz w:val="17"/>
          <w:szCs w:val="17"/>
          <w:color w:val="auto"/>
        </w:rPr>
        <w:t>.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 (see Note 13).</w:t>
      </w:r>
    </w:p>
    <w:p>
      <w:pPr>
        <w:spacing w:after="0" w:line="16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Management has evaluated the effect of ASC guidance related to uncertain income tax positions and concluded that the Company has no significant financial statement exposure to uncertain income tax positions at December 31, 2022 and 2021. The Company’s income tax returns have not been examined by tax authorities through December 31, 2022. The Company is not currently under audit by any tax jurisdiction.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carries certain liabilities at fair value on a recurring basis. A fair value hierarchy that consists of three levels is used to prioritize the inputs to fair value valuation techniques:</w:t>
      </w:r>
    </w:p>
    <w:p>
      <w:pPr>
        <w:spacing w:after="0" w:line="153" w:lineRule="exact"/>
        <w:rPr>
          <w:sz w:val="20"/>
          <w:szCs w:val="20"/>
          <w:color w:val="auto"/>
        </w:rPr>
      </w:pPr>
    </w:p>
    <w:p>
      <w:pPr>
        <w:ind w:left="1220" w:hanging="605"/>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based upon observable or quoted prices for identical instruments traded in active markets.</w:t>
      </w:r>
    </w:p>
    <w:p>
      <w:pPr>
        <w:spacing w:after="0" w:line="26"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6" w:lineRule="auto"/>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2016, the Financial Accounting Standards Board (“FASB”) issued Accounting Standards Update (“ASU”) 2016-02, Leases (Topic 842). This ASU requires a lessee to recognize a right-of-use asset and a lease liability under most operating leases in its balance sheet. The ASU is effective for annual and interim periods beginning after December 15, 2021. The Company adopted ASU 2016-02 on January 1, 2022. See Note 15 – Operating Leases.</w:t>
      </w:r>
    </w:p>
    <w:p>
      <w:pPr>
        <w:spacing w:after="0" w:line="163"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In December 2019, the FASB issued ASU No. 2019-12, </w:t>
      </w:r>
      <w:r>
        <w:rPr>
          <w:rFonts w:ascii="Times New Roman" w:cs="Times New Roman" w:eastAsia="Times New Roman" w:hAnsi="Times New Roman"/>
          <w:sz w:val="17"/>
          <w:szCs w:val="17"/>
          <w:i w:val="1"/>
          <w:iCs w:val="1"/>
          <w:color w:val="auto"/>
        </w:rPr>
        <w:t>Income Taxes (Topic 740): Simplifying the Accounting for Income Taxes</w:t>
      </w:r>
      <w:r>
        <w:rPr>
          <w:rFonts w:ascii="Times New Roman" w:cs="Times New Roman" w:eastAsia="Times New Roman" w:hAnsi="Times New Roman"/>
          <w:sz w:val="17"/>
          <w:szCs w:val="17"/>
          <w:color w:val="auto"/>
        </w:rPr>
        <w:t>. This standard simplifies the accounting for income taxes through the removal of various exceptions previously provided, as well as providing additional reporting requirements for income taxes. The ASU is effective for the Company on January 1, 2022. The Company has adopted this standard effective January 1, 2022, which did not have a material impact to the financial statements.</w:t>
      </w:r>
    </w:p>
    <w:p>
      <w:pPr>
        <w:spacing w:after="0" w:line="164"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In August 2020, the FASB issued ASU No. 2020-06, </w:t>
      </w:r>
      <w:r>
        <w:rPr>
          <w:rFonts w:ascii="Times New Roman" w:cs="Times New Roman" w:eastAsia="Times New Roman" w:hAnsi="Times New Roman"/>
          <w:sz w:val="17"/>
          <w:szCs w:val="17"/>
          <w:i w:val="1"/>
          <w:iCs w:val="1"/>
          <w:color w:val="auto"/>
        </w:rPr>
        <w:t>Debt – Debt with Conversion and Other Options (Subtopic 470-20) and Derivatives and Hedging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in Entity’s Own Equity (Subtopic 815-40)</w:t>
      </w:r>
      <w:r>
        <w:rPr>
          <w:rFonts w:ascii="Times New Roman" w:cs="Times New Roman" w:eastAsia="Times New Roman" w:hAnsi="Times New Roman"/>
          <w:sz w:val="17"/>
          <w:szCs w:val="17"/>
          <w:color w:val="auto"/>
        </w:rPr>
        <w:t>, which simplifies the accounting for certain financial instruments with characteristics of liabilities and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convertible instruments and contracts on an entity’s own equity. This standard will be effective for the Company on January 1, 2024, with early adoption permitted (but no earlier than fiscal years beginning after December 15, 2020). The Company has adopted this standard effective January 1, 2021, which did not have a material impact to the financial statements.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0" w:name="page131"/>
    <w:bookmarkEnd w:id="130"/>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Company’s financial instruments are primarily comprised of accounts receivable, accounts payable, accrued liabilities, and long-term debt. For accounts receivable, accounts payable and accrued liabilities, the carrying amount approximates fair value due to the short term maturities of such instruments. The estimated fair value of the Company’s long-term debt approximates carrying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Employee Retention Credit</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September 30, 2021. Based on these additional provisions, the tax credit is now equal to 70% of qualified wages paid to employees during a quarter, and the limit on qualified wages per employee has been increased to $10,000 of qualified wages per quarter. In April 2022, the Company determined it qualified for the tax credit under the CARES Act and recorded a receivable for $229,813 and recognized the amounts as other income on the statement of operations. The Company received full payment for the amount in September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4. Property and Equipment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66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and equipment consisted of the following at December 31, 2022 and 2021: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6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Lab equipment</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1,034,579</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1,016,737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30,825</w:t>
            </w:r>
          </w:p>
        </w:tc>
        <w:tc>
          <w:tcPr>
            <w:tcW w:w="44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30,825</w:t>
            </w:r>
          </w:p>
        </w:tc>
        <w:tc>
          <w:tcPr>
            <w:tcW w:w="0" w:type="dxa"/>
            <w:vAlign w:val="bottom"/>
          </w:tcPr>
          <w:p>
            <w:pPr>
              <w:spacing w:after="0"/>
              <w:rPr>
                <w:sz w:val="1"/>
                <w:szCs w:val="1"/>
                <w:color w:val="auto"/>
              </w:rPr>
            </w:pPr>
          </w:p>
        </w:tc>
      </w:tr>
      <w:tr>
        <w:trPr>
          <w:trHeight w:val="20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24,316</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24,316</w:t>
            </w:r>
          </w:p>
        </w:tc>
        <w:tc>
          <w:tcPr>
            <w:tcW w:w="0" w:type="dxa"/>
            <w:vAlign w:val="bottom"/>
          </w:tcPr>
          <w:p>
            <w:pPr>
              <w:spacing w:after="0"/>
              <w:rPr>
                <w:sz w:val="1"/>
                <w:szCs w:val="1"/>
                <w:color w:val="auto"/>
              </w:rPr>
            </w:pPr>
          </w:p>
        </w:tc>
      </w:tr>
      <w:tr>
        <w:trPr>
          <w:trHeight w:val="204"/>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28,855</w:t>
            </w:r>
          </w:p>
        </w:tc>
        <w:tc>
          <w:tcPr>
            <w:tcW w:w="44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28,855</w:t>
            </w:r>
          </w:p>
        </w:tc>
        <w:tc>
          <w:tcPr>
            <w:tcW w:w="0" w:type="dxa"/>
            <w:vAlign w:val="bottom"/>
          </w:tcPr>
          <w:p>
            <w:pPr>
              <w:spacing w:after="0"/>
              <w:rPr>
                <w:sz w:val="1"/>
                <w:szCs w:val="1"/>
                <w:color w:val="auto"/>
              </w:rPr>
            </w:pPr>
          </w:p>
        </w:tc>
      </w:tr>
      <w:tr>
        <w:trPr>
          <w:trHeight w:val="20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 equipment</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14,932</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14,932</w:t>
            </w:r>
          </w:p>
        </w:tc>
        <w:tc>
          <w:tcPr>
            <w:tcW w:w="0" w:type="dxa"/>
            <w:vAlign w:val="bottom"/>
          </w:tcPr>
          <w:p>
            <w:pPr>
              <w:spacing w:after="0"/>
              <w:rPr>
                <w:sz w:val="1"/>
                <w:szCs w:val="1"/>
                <w:color w:val="auto"/>
              </w:rPr>
            </w:pPr>
          </w:p>
        </w:tc>
      </w:tr>
      <w:tr>
        <w:trPr>
          <w:trHeight w:val="222"/>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1,133,507</w:t>
            </w:r>
          </w:p>
        </w:tc>
        <w:tc>
          <w:tcPr>
            <w:tcW w:w="4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1,115,665</w:t>
            </w:r>
          </w:p>
        </w:tc>
        <w:tc>
          <w:tcPr>
            <w:tcW w:w="0" w:type="dxa"/>
            <w:vAlign w:val="bottom"/>
          </w:tcPr>
          <w:p>
            <w:pPr>
              <w:spacing w:after="0"/>
              <w:rPr>
                <w:sz w:val="1"/>
                <w:szCs w:val="1"/>
                <w:color w:val="auto"/>
              </w:rPr>
            </w:pPr>
          </w:p>
        </w:tc>
      </w:tr>
      <w:tr>
        <w:trPr>
          <w:trHeight w:val="217"/>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(286,549</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property and equipment</w:t>
            </w:r>
          </w:p>
        </w:tc>
        <w:tc>
          <w:tcPr>
            <w:tcW w:w="3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846,958</w:t>
            </w:r>
          </w:p>
        </w:tc>
        <w:tc>
          <w:tcPr>
            <w:tcW w:w="340" w:type="dxa"/>
            <w:vAlign w:val="bottom"/>
            <w:vMerge w:val="continue"/>
          </w:tcPr>
          <w:p>
            <w:pPr>
              <w:spacing w:after="0"/>
              <w:rPr>
                <w:sz w:val="17"/>
                <w:szCs w:val="17"/>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946,681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expense was $120,651 and $81,866 for the years ended December 31, 2022 and 2021,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Intangible Assets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consisted of the following at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36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c>
          <w:tcPr>
            <w:tcW w:w="260" w:type="dxa"/>
            <w:vAlign w:val="bottom"/>
          </w:tcPr>
          <w:p>
            <w:pPr>
              <w:spacing w:after="0"/>
              <w:rPr>
                <w:sz w:val="20"/>
                <w:szCs w:val="20"/>
                <w:color w:val="auto"/>
              </w:rPr>
            </w:pPr>
          </w:p>
        </w:tc>
        <w:tc>
          <w:tcPr>
            <w:tcW w:w="2120" w:type="dxa"/>
            <w:vAlign w:val="bottom"/>
            <w:gridSpan w:val="2"/>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Gross Amount</w:t>
            </w:r>
          </w:p>
        </w:tc>
        <w:tc>
          <w:tcPr>
            <w:tcW w:w="260" w:type="dxa"/>
            <w:vAlign w:val="bottom"/>
          </w:tcPr>
          <w:p>
            <w:pPr>
              <w:spacing w:after="0"/>
              <w:rPr>
                <w:sz w:val="20"/>
                <w:szCs w:val="20"/>
                <w:color w:val="auto"/>
              </w:rPr>
            </w:pP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Net Amount</w:t>
            </w:r>
          </w:p>
        </w:tc>
        <w:tc>
          <w:tcPr>
            <w:tcW w:w="0" w:type="dxa"/>
            <w:vAlign w:val="bottom"/>
          </w:tcPr>
          <w:p>
            <w:pPr>
              <w:spacing w:after="0"/>
              <w:rPr>
                <w:sz w:val="1"/>
                <w:szCs w:val="1"/>
                <w:color w:val="auto"/>
              </w:rPr>
            </w:pPr>
          </w:p>
        </w:tc>
      </w:tr>
      <w:tr>
        <w:trPr>
          <w:trHeight w:val="204"/>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53,999</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Patents</w:t>
            </w:r>
          </w:p>
        </w:tc>
        <w:tc>
          <w:tcPr>
            <w:tcW w:w="2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 years</w:t>
            </w:r>
          </w:p>
        </w:tc>
        <w:tc>
          <w:tcPr>
            <w:tcW w:w="260" w:type="dxa"/>
            <w:vAlign w:val="bottom"/>
          </w:tcPr>
          <w:p>
            <w:pPr>
              <w:spacing w:after="0"/>
              <w:rPr>
                <w:sz w:val="17"/>
                <w:szCs w:val="17"/>
                <w:color w:val="auto"/>
              </w:rPr>
            </w:pPr>
          </w:p>
        </w:tc>
        <w:tc>
          <w:tcPr>
            <w:tcW w:w="21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108,198</w:t>
            </w:r>
          </w:p>
        </w:tc>
        <w:tc>
          <w:tcPr>
            <w:tcW w:w="26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8,140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100,058</w:t>
            </w:r>
          </w:p>
        </w:tc>
        <w:tc>
          <w:tcPr>
            <w:tcW w:w="0" w:type="dxa"/>
            <w:vAlign w:val="bottom"/>
          </w:tcPr>
          <w:p>
            <w:pPr>
              <w:spacing w:after="0"/>
              <w:rPr>
                <w:sz w:val="1"/>
                <w:szCs w:val="1"/>
                <w:color w:val="auto"/>
              </w:rPr>
            </w:pPr>
          </w:p>
        </w:tc>
      </w:tr>
      <w:tr>
        <w:trPr>
          <w:trHeight w:val="23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agreement</w:t>
            </w:r>
          </w:p>
        </w:tc>
        <w:tc>
          <w:tcPr>
            <w:tcW w:w="2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 years</w:t>
            </w:r>
          </w:p>
        </w:tc>
        <w:tc>
          <w:tcPr>
            <w:tcW w:w="2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65,510</w:t>
            </w: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65,510</w:t>
            </w:r>
          </w:p>
        </w:tc>
        <w:tc>
          <w:tcPr>
            <w:tcW w:w="0" w:type="dxa"/>
            <w:vAlign w:val="bottom"/>
          </w:tcPr>
          <w:p>
            <w:pPr>
              <w:spacing w:after="0"/>
              <w:rPr>
                <w:sz w:val="1"/>
                <w:szCs w:val="1"/>
                <w:color w:val="auto"/>
              </w:rPr>
            </w:pPr>
          </w:p>
        </w:tc>
      </w:tr>
      <w:tr>
        <w:trPr>
          <w:trHeight w:val="202"/>
        </w:trPr>
        <w:tc>
          <w:tcPr>
            <w:tcW w:w="2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20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227,707</w:t>
            </w: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8,140</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219,567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1340"/>
              <w:spacing w:after="0"/>
              <w:rPr>
                <w:sz w:val="20"/>
                <w:szCs w:val="20"/>
                <w:color w:val="auto"/>
              </w:rPr>
            </w:pPr>
            <w:r>
              <w:rPr>
                <w:rFonts w:ascii="Times New Roman" w:cs="Times New Roman" w:eastAsia="Times New Roman" w:hAnsi="Times New Roman"/>
                <w:sz w:val="17"/>
                <w:szCs w:val="17"/>
                <w:color w:val="auto"/>
              </w:rPr>
              <w:t>F-12</w:t>
            </w: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31" w:name="page132"/>
    <w:bookmarkEnd w:id="131"/>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2021</w:t>
            </w: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c>
          <w:tcPr>
            <w:tcW w:w="208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Gross Amount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Net Amount</w:t>
            </w:r>
          </w:p>
        </w:tc>
        <w:tc>
          <w:tcPr>
            <w:tcW w:w="0" w:type="dxa"/>
            <w:vAlign w:val="bottom"/>
          </w:tcPr>
          <w:p>
            <w:pPr>
              <w:spacing w:after="0"/>
              <w:rPr>
                <w:sz w:val="1"/>
                <w:szCs w:val="1"/>
                <w:color w:val="auto"/>
              </w:rPr>
            </w:pPr>
          </w:p>
        </w:tc>
      </w:tr>
      <w:tr>
        <w:trPr>
          <w:trHeight w:val="204"/>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2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50,955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50,955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Patents</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 years</w:t>
            </w:r>
          </w:p>
        </w:tc>
        <w:tc>
          <w:tcPr>
            <w:tcW w:w="13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49,644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2,906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46,738</w:t>
            </w:r>
          </w:p>
        </w:tc>
        <w:tc>
          <w:tcPr>
            <w:tcW w:w="0" w:type="dxa"/>
            <w:vAlign w:val="bottom"/>
          </w:tcPr>
          <w:p>
            <w:pPr>
              <w:spacing w:after="0"/>
              <w:rPr>
                <w:sz w:val="1"/>
                <w:szCs w:val="1"/>
                <w:color w:val="auto"/>
              </w:rPr>
            </w:pPr>
          </w:p>
        </w:tc>
      </w:tr>
      <w:tr>
        <w:trPr>
          <w:trHeight w:val="217"/>
        </w:trPr>
        <w:tc>
          <w:tcPr>
            <w:tcW w:w="2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100,599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2,906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97,693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8960" w:type="dxa"/>
            <w:vAlign w:val="bottom"/>
            <w:gridSpan w:val="13"/>
          </w:tcPr>
          <w:p>
            <w:pPr>
              <w:ind w:left="620"/>
              <w:spacing w:after="0"/>
              <w:rPr>
                <w:sz w:val="20"/>
                <w:szCs w:val="20"/>
                <w:color w:val="auto"/>
              </w:rPr>
            </w:pPr>
            <w:r>
              <w:rPr>
                <w:rFonts w:ascii="Times New Roman" w:cs="Times New Roman" w:eastAsia="Times New Roman" w:hAnsi="Times New Roman"/>
                <w:sz w:val="17"/>
                <w:szCs w:val="17"/>
                <w:color w:val="auto"/>
              </w:rPr>
              <w:t>During 2022 and 2021, amortization expense related to intangible assets was $5,234 and $2,906, respectively.</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08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Expected amortization expense is as follows for the years ending December 31: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04"/>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04"/>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22"/>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85,456</w:t>
            </w:r>
          </w:p>
        </w:tc>
        <w:tc>
          <w:tcPr>
            <w:tcW w:w="0" w:type="dxa"/>
            <w:vAlign w:val="bottom"/>
          </w:tcPr>
          <w:p>
            <w:pPr>
              <w:spacing w:after="0"/>
              <w:rPr>
                <w:sz w:val="1"/>
                <w:szCs w:val="1"/>
                <w:color w:val="auto"/>
              </w:rPr>
            </w:pPr>
          </w:p>
        </w:tc>
      </w:tr>
      <w:tr>
        <w:trPr>
          <w:trHeight w:val="217"/>
        </w:trPr>
        <w:tc>
          <w:tcPr>
            <w:tcW w:w="2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6. Accrued Expenses</w:t>
            </w: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50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08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Accrued expenses consisted of the following at December 31, 2022 and 2021: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payroll and bonuses</w:t>
            </w: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371,010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Vacation</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27,082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43,473</w:t>
            </w:r>
          </w:p>
        </w:tc>
        <w:tc>
          <w:tcPr>
            <w:tcW w:w="0" w:type="dxa"/>
            <w:vAlign w:val="bottom"/>
          </w:tcPr>
          <w:p>
            <w:pPr>
              <w:spacing w:after="0"/>
              <w:rPr>
                <w:sz w:val="1"/>
                <w:szCs w:val="1"/>
                <w:color w:val="auto"/>
              </w:rPr>
            </w:pPr>
          </w:p>
        </w:tc>
      </w:tr>
      <w:tr>
        <w:trPr>
          <w:trHeight w:val="20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316,389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149,711</w:t>
            </w:r>
          </w:p>
        </w:tc>
        <w:tc>
          <w:tcPr>
            <w:tcW w:w="0" w:type="dxa"/>
            <w:vAlign w:val="bottom"/>
          </w:tcPr>
          <w:p>
            <w:pPr>
              <w:spacing w:after="0"/>
              <w:rPr>
                <w:sz w:val="1"/>
                <w:szCs w:val="1"/>
                <w:color w:val="auto"/>
              </w:rPr>
            </w:pPr>
          </w:p>
        </w:tc>
      </w:tr>
      <w:tr>
        <w:trPr>
          <w:trHeight w:val="204"/>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223,792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59,181</w:t>
            </w:r>
          </w:p>
        </w:tc>
        <w:tc>
          <w:tcPr>
            <w:tcW w:w="0" w:type="dxa"/>
            <w:vAlign w:val="bottom"/>
          </w:tcPr>
          <w:p>
            <w:pPr>
              <w:spacing w:after="0"/>
              <w:rPr>
                <w:sz w:val="1"/>
                <w:szCs w:val="1"/>
                <w:color w:val="auto"/>
              </w:rPr>
            </w:pPr>
          </w:p>
        </w:tc>
      </w:tr>
      <w:tr>
        <w:trPr>
          <w:trHeight w:val="20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24,502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58,892</w:t>
            </w:r>
          </w:p>
        </w:tc>
        <w:tc>
          <w:tcPr>
            <w:tcW w:w="0" w:type="dxa"/>
            <w:vAlign w:val="bottom"/>
          </w:tcPr>
          <w:p>
            <w:pPr>
              <w:spacing w:after="0"/>
              <w:rPr>
                <w:sz w:val="1"/>
                <w:szCs w:val="1"/>
                <w:color w:val="auto"/>
              </w:rPr>
            </w:pPr>
          </w:p>
        </w:tc>
      </w:tr>
      <w:tr>
        <w:trPr>
          <w:trHeight w:val="222"/>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31,186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25,557</w:t>
            </w:r>
          </w:p>
        </w:tc>
        <w:tc>
          <w:tcPr>
            <w:tcW w:w="0" w:type="dxa"/>
            <w:vAlign w:val="bottom"/>
          </w:tcPr>
          <w:p>
            <w:pPr>
              <w:spacing w:after="0"/>
              <w:rPr>
                <w:sz w:val="1"/>
                <w:szCs w:val="1"/>
                <w:color w:val="auto"/>
              </w:rPr>
            </w:pPr>
          </w:p>
        </w:tc>
      </w:tr>
      <w:tr>
        <w:trPr>
          <w:trHeight w:val="217"/>
        </w:trPr>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993,961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475,485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Company accrues expenses related to development activities performed by third parties based on an evaluation of services received and efforts expended pursuant to the terms of the contractual arrangements. Payments under some of these contracts depend on research and non-clinical trial milestones. There may be instances in which payments made to the Company’s vendors will exceed the level of services provided and result in a prepayment of expense. In accruing service fees, the Company estimates the period over which services will be performed and the level of effort to be expended in each period. If the actual timing of the performance of services or the level of effort varies from the estimate, the Company will adjust the accrual or prepaid expense accordingly. The Company has not experienced any material differences between accrued costs and actual costs incurred since its inception.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2" w:name="page133"/>
    <w:bookmarkEnd w:id="132"/>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Convertible Debt</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In September 2022, the Company entered into a Convertible Note Purchase Agreement (the Agreement) to issue up to $4,500,000 convertible promissory notes. On the same day, the Company entered into convertible promissory notes (2022 Convertible Notes) with three investors totaling $4,350,000. The 2022 Convertible Notes mature on January 13, 2023 or the occurrence of an Event of Default (as defined) and bear interest at a rate of 8% per annum which shall accrue but is not due and payable until conversion or full repayment of outstanding principal. The principal and interest outstanding under the 2022 Convertible Notes is automatically converted a) upon the closing of a Qualified Financing resulting in gross proceeds to the Company of at least $20 million into securities issued in connection with the Qualified Financing, at a discount of 30% per share; b) upon the closing of a Change of Control event into shares of capital stock of the Company or Series B preferred stock; and c) upon the closing of a Public Company Event, into shares of capital stock being issued to investors equal to two-times (2x) the amount of the outstanding principal and accrued interest then outstanding divided by the public offering price per share. The principal and interest outstanding under the 2022 Convertible Notes is convertible, at the option of the holders, at the maturity date into a new class of Company’s Preferred Stock (Series C Preferred) equal to the quotient of the outstanding principal amount plus interest divided by the Capped Price, which is defined as the price per share equal to the Valuation Cap of $30 million divided by the Company Capitalization, as defined in the Agreement.</w:t>
      </w:r>
    </w:p>
    <w:p>
      <w:pPr>
        <w:spacing w:after="0" w:line="18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Company accounts for the 2022 Convertible Notes under ASC 815. Under 815-15-25, the election can be at the inception of a financial instrument to account for the instrument under the fair value option under ASC 825. The Company has made such election for the 2022 Convertible Notes. Using the fair value option, the convertible promissory note is to be recorded at its initial fair value on the date of issuance, and each balance sheet date thereafter. The Company evaluates the change based on the conversion price at the current market value. When recognized, changes in the estimated fair value of the notes are recognized as a non-cash gain or loss in Other Income (Expense) on the statements of operations. The Company recognized a change in fair value of the 2022 Convertible Notes of $1,250,000 for the year ended December 31, 2022.</w:t>
      </w:r>
    </w:p>
    <w:p>
      <w:pPr>
        <w:spacing w:after="0" w:line="17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Effective January 5, 2021, the Company entered into a Note Purchase Agreement to issue up to $2,000,000 of convertible promissory notes. On the same date, the Company entered into a convertible promissory note (2021 Convertible Note) with one investor for $1,000,000. The 2021 Convertible Note bears interest at a rate of 6% per annum and is due and payable in full on January 5, 2023. The 2021 Convertible Note automatically converts upon a qualified equity financing, as defined in the note agreement to the number of shares equal to all principal and accrued interest divided by the conversion price of $48.00, which is subject to adjustment as defined in the note agreement. The 2021 Convertible Note is also optionally convertible as defined in the note agreement for certain non-qualified financing, a change in control, or upon the maturity date of the 2021 Convertible Note. The Company incurred issuance costs of $15,613 related to the 2021 Convertible Note, which has been recorded as a debt discount and were amortized over the term of the 2021 Convertible Note. The issuance costs were fully amortized at December 31, 2022.</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evaluated the terms and conditions of the Note Purchase Agreement related to the 2021 Convertible Note in order to assess the accounting considerations under ASC 480 – Distinguishing Liabilities from Equity, and ASC 815 – Derivatives and Hedging. The Company determined the Convertible Note does not meet any of the criteria to be accounted pursuant to an ASC 480 liability. The Company also assessed the embedded features pursuant to the guidance in ASC 815 and determined the embedded features do not meet any of the criteria for bifurcation.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5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Convertible notes payable consisted of the following at December 31: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6"/>
        </w:trPr>
        <w:tc>
          <w:tcPr>
            <w:tcW w:w="360" w:type="dxa"/>
            <w:vAlign w:val="bottom"/>
            <w:tcBorders>
              <w:bottom w:val="single" w:sz="8" w:color="CCEEFF"/>
            </w:tcBorders>
          </w:tcPr>
          <w:p>
            <w:pPr>
              <w:spacing w:after="0"/>
              <w:rPr>
                <w:sz w:val="24"/>
                <w:szCs w:val="24"/>
                <w:color w:val="auto"/>
              </w:rPr>
            </w:pPr>
          </w:p>
        </w:tc>
        <w:tc>
          <w:tcPr>
            <w:tcW w:w="58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4"/>
                <w:szCs w:val="24"/>
                <w:color w:val="auto"/>
              </w:rPr>
            </w:pPr>
          </w:p>
        </w:tc>
      </w:tr>
      <w:tr>
        <w:trPr>
          <w:trHeight w:val="204"/>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2021</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Note</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1,000,000</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7"/>
                <w:szCs w:val="17"/>
                <w:color w:val="auto"/>
              </w:rPr>
            </w:pPr>
          </w:p>
        </w:tc>
      </w:tr>
      <w:tr>
        <w:trPr>
          <w:trHeight w:val="222"/>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2022</w:t>
            </w:r>
          </w:p>
        </w:tc>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Notes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5,600,000</w:t>
            </w: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6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6,600,000</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Debt issuance costs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(7,981)</w:t>
            </w:r>
          </w:p>
        </w:tc>
      </w:tr>
      <w:tr>
        <w:trPr>
          <w:trHeight w:val="217"/>
        </w:trPr>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6,600,000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992,019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There was $7,981 and $7,632 amortized related to the debt issuance costs during the years ended December 31, 2022 and 2021, respectively. Interest accrued on the convertible notes was $223,792 and $59,181 at December 31, 2022 and 2021, respectively.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3" w:name="page134"/>
    <w:bookmarkEnd w:id="133"/>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Payroll Protection Program Loan</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On April 10, 2020 the Company received a loan in the amount of $230,685 under the Payroll Protection Program (PPP Loan). The loan accrued interest at a rate of 1% and had an original maturity date of two years which could be extended to five years by mutual agreement of the Company and the lender.</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Under the requirements of the CARES Act, as amended by the PPP Flexibility Act and Consolidated Appropriations Act, 2021, proceeds could only be used for the Company’s eligible payroll costs (with salary capped at $100,000 on an annualized basis for each employee), or other eligible costs related to rent, mortgage interest utilities, covered operations expenditures, covered property damage, covered supplier costs, and covered worker protection expenditures, in each case paid during the 24-week period following disbursement. The PPP Loan could be fully forgiven if (i) proceeds are used to pay eligible payroll costs or other eligible costs and (ii) full-time employee headcount and salaries are either maintained during the 24-week period following disbursement or restored by December 31, 2020.</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received notification of full forgiveness of the PPP Loan on January 25, 2021 and has recorded the amount in other income on the statement of operations.</w:t>
      </w:r>
    </w:p>
    <w:p>
      <w:pPr>
        <w:spacing w:after="0" w:line="149" w:lineRule="exact"/>
        <w:rPr>
          <w:sz w:val="20"/>
          <w:szCs w:val="20"/>
          <w:color w:val="auto"/>
        </w:rPr>
      </w:pPr>
    </w:p>
    <w:p>
      <w:pPr>
        <w:ind w:right="9540" w:firstLine="2"/>
        <w:spacing w:after="0" w:line="503" w:lineRule="auto"/>
        <w:tabs>
          <w:tab w:leader="none" w:pos="17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Common Stock</w:t>
      </w:r>
    </w:p>
    <w:p>
      <w:pPr>
        <w:spacing w:after="0" w:line="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December 31, 2022 and 2021, respectively, per the Company’s amended and restated Certificate of Incorporation, the Company was authorized to issue 100,000,000 shares of $0.0001 par value common stock. Refer to Note 19, Subsequent Events for more information related to the Forward-Stock Split.</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had 1,043,991 and 1,043,103 shares of common stock issued and outstanding as of December 31, 2022 and 2021, respectively.</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Each share of common stock entitles the holder to one vote on all matters submitted to a vote of the Company’s stockholders and the holders of the Common Stock are entitled to elect one director of the Corporation.</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currently has 8,504,678 shares of common stock reserved for future issuance for the potential conversion of the outstanding Preferred Stock and the exercise of stock options and warrants outstanding at December 31,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December 31, 2022 and 2021, respectively, per the Company’s amended and restated Certificate of Incorporation, the Company has authorized 1,437,150 and 978,042 shares of $0.0001 par value preferred stock.</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Series A, Series A-1, and Series B Preferred Stock have the following rights, preferences and privileges: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preferred stock is convertible, at the option of the holder, into common shares based upon a predefined formula. A holder of preferred stock may convert such shares into common shares at any time. For purpose of conversion, the initial conversion price is $2.2887 per share (original issue price) for Series A Preferred Stock, $5.2817 per share (original issue price) for Series A-1 Preferred Stock, and $6.1190 per share (original issue price) for Series B Preferred Stock, and is subject to adjustment as described in the Certificate of Incorporation. Preferred stock will automatically convert into common shares upon the earlier of (a) an initial public offering with gross proceeds in excess of $100,000,000 or (b) the date and time, or the occurrence of an event, specified by vote or written consent of the required preferred stock shareholders, all outstanding Series A, Series A-1, and Series B Preferred Stock shall automatically convert into common shares, at the then effective conversion rate.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4" w:name="page135"/>
    <w:bookmarkEnd w:id="134"/>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holders of the Series A, Series A-1, and Series B Preferred Stock are entitled to vote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The holders of the Series A and Series A-1 Preferred Stock are each entitled to elect one director of the Corporation. The holders of the Series B Stock are entitled to elect two members of the Board. Each class of preferred stock can remove from office such directors and to fill any vacancy caused by the resignation, death or removal of such directors under certain circumstances as described in the Certificate of Incorporation.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holders of Series A Preferred Stock are entitled to receive dividends at a rate of 8% per annum of the Series A original issue price of $2.2887 per share on each outstanding share of Series A Preferred Stock (subject to appropriate adjustment in the event of any stock dividend, stock split, combination or other similar recapitalization with respect to the Series A Preferred Stock). Dividends accumulate from the original date of issuance of the Series A Preferred Stock, are cumulative and are payable upon declaration of the Board of Directors or liquidation of the Company. At December 31, 2022, cumulative dividends on Series A Preferred Stock were $1,541,575.</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holders of Series A-1 Stock are entitled to receive dividends at a rate of 8% per annum of the Series A-1 original issue price of $5.2817 per share on each outstanding share of Series A-1 (subject to appropriate adjustment in the event of any stock dividend, stock split, combination or other similar recapitalization with respect to the Series A-1 Preferred Stock). Dividends are cumulative and are payable upon declaration of the Board of Directors or liquidation of the Company. At December 31, 2022, cumulative dividends on Series A-1 Preferred Stock were $4,332,153.</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holders of Series B Stock are entitled to receive dividends at a rate of 8% per annum of the Series B original issue price of $6.1190 per share on each outstanding share of Series B (subject to appropriate adjustment in the event of any stock dividend, stock split, combination or other similar recapitalization with respect to the Series B Preferred Stock). Dividends are cumulative and are payable upon declaration of the Board of Directors or liquidation of the Company. At December 31, 2022, cumulative dividends on Series B Preferred Stock were $3,135,585.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the event of any liquidation, dissolution or winding up of the Company, the holders of the preferred stock are entitled to receive, prior to and in preference to the holders of the common shares, an amount equal to the Series A, Series A-1, or Series B Preferred Stock original issue price, plus declared and/or accrued but unpaid dividends. In the event of any such liquidation event, after the payment of all preferential amounts required to be paid to the holders of shares of preferred stock,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into Common Stock pursuant to the terms of the Certificate of Incorporation immediately prior to such liquidation event.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Warrants</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Company issued warrants to purchase 47,889 shares of common stock in 2018 in conjunction with convertible debt financing that have a redemption provision providing the holder the right to have the Company redeem all or any portion of the warrant (or shares it has converted into) at a purchase price equal to the fair market value of the shares as determined by the board of directors or an independent appraiser. As a result of this redemption provision, the warrants have been classified as a liability in the financial statements based on ASC 480 – Distinguishing Liabilities from Equity. These warrants have an exercise price of $0.48 per share a term of 10 years. The warrants are marked to market each reporting period. The fair value is $70,283 and $71,104 at December 31, 2022 and 2021, respectively. At December 31, 2022, the Company estimated the fair value of the warrants using the Black-Scholes option pricing model with the following assumptions: Underlying common stock value of $1.70; Expected term of 5 years; Expected Volatility of 86.0%; Risk Free Interest Rate of 3.01%; and Dividend Yield of 0%. At December 31, 2021, the Company estimated the fair value of the warrants using the Black-Scholes option pricing model with the following assumptions: Underlying common stock value of $1.70; Expected term of 6 years; Expected Volatility of 86.0%; Risk Free Interest Rate of 1.35%; and Dividend Yield of 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5" w:name="page136"/>
    <w:bookmarkEnd w:id="135"/>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also issued warrants in 2016 and 2019 which did not meet the criteria under ASC 480 to be classified as a liability, and instead meet equity classification criteria.</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information about warrants outstanding at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Borders>
              <w:bottom w:val="single" w:sz="8" w:color="auto"/>
            </w:tcBorders>
            <w:gridSpan w:val="6"/>
          </w:tcPr>
          <w:p>
            <w:pPr>
              <w:jc w:val="center"/>
              <w:ind w:left="715"/>
              <w:spacing w:after="0"/>
              <w:rPr>
                <w:sz w:val="20"/>
                <w:szCs w:val="20"/>
                <w:color w:val="auto"/>
              </w:rPr>
            </w:pPr>
            <w:r>
              <w:rPr>
                <w:rFonts w:ascii="Times New Roman" w:cs="Times New Roman" w:eastAsia="Times New Roman" w:hAnsi="Times New Roman"/>
                <w:sz w:val="17"/>
                <w:szCs w:val="17"/>
                <w:b w:val="1"/>
                <w:bCs w:val="1"/>
                <w:color w:val="auto"/>
                <w:w w:val="98"/>
              </w:rPr>
              <w:t>Warrants Outstanding</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Borders>
              <w:bottom w:val="single" w:sz="8" w:color="auto"/>
            </w:tcBorders>
            <w:gridSpan w:val="5"/>
          </w:tcPr>
          <w:p>
            <w:pPr>
              <w:jc w:val="center"/>
              <w:ind w:left="715"/>
              <w:spacing w:after="0"/>
              <w:rPr>
                <w:sz w:val="20"/>
                <w:szCs w:val="20"/>
                <w:color w:val="auto"/>
              </w:rPr>
            </w:pPr>
            <w:r>
              <w:rPr>
                <w:rFonts w:ascii="Times New Roman" w:cs="Times New Roman" w:eastAsia="Times New Roman" w:hAnsi="Times New Roman"/>
                <w:sz w:val="17"/>
                <w:szCs w:val="17"/>
                <w:b w:val="1"/>
                <w:bCs w:val="1"/>
                <w:color w:val="auto"/>
                <w:w w:val="99"/>
              </w:rPr>
              <w:t>Warrants Exercisable</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4"/>
        </w:trPr>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7"/>
                <w:szCs w:val="17"/>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4"/>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00" w:type="dxa"/>
            <w:vAlign w:val="bottom"/>
          </w:tcPr>
          <w:p>
            <w:pPr>
              <w:spacing w:after="0"/>
              <w:rPr>
                <w:sz w:val="17"/>
                <w:szCs w:val="17"/>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Warrants at</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 at</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00" w:type="dxa"/>
            <w:vAlign w:val="bottom"/>
          </w:tcPr>
          <w:p>
            <w:pPr>
              <w:spacing w:after="0"/>
              <w:rPr>
                <w:sz w:val="17"/>
                <w:szCs w:val="17"/>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Exercise</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Granted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12/31/2022</w:t>
            </w:r>
          </w:p>
        </w:tc>
        <w:tc>
          <w:tcPr>
            <w:tcW w:w="34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12/31/2022</w:t>
            </w:r>
          </w:p>
        </w:tc>
        <w:tc>
          <w:tcPr>
            <w:tcW w:w="3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Life</w:t>
            </w:r>
          </w:p>
        </w:tc>
        <w:tc>
          <w:tcPr>
            <w:tcW w:w="100" w:type="dxa"/>
            <w:vAlign w:val="bottom"/>
          </w:tcPr>
          <w:p>
            <w:pPr>
              <w:spacing w:after="0"/>
              <w:rPr>
                <w:sz w:val="20"/>
                <w:szCs w:val="20"/>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204"/>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87"/>
              </w:rPr>
              <w:t>0.01</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11,467</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11,467</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2018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0.48</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47,889</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3.7 years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0.48</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47,889</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3.7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tcPr>
          <w:p>
            <w:pPr>
              <w:spacing w:after="0"/>
              <w:rPr>
                <w:sz w:val="17"/>
                <w:szCs w:val="17"/>
                <w:color w:val="auto"/>
              </w:rPr>
            </w:pPr>
          </w:p>
        </w:tc>
      </w:tr>
      <w:tr>
        <w:trPr>
          <w:trHeight w:val="23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5.28</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215,854</w:t>
            </w: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5.3 years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5.28</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215,854</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5.3 years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5.28</w:t>
            </w:r>
          </w:p>
        </w:tc>
        <w:tc>
          <w:tcPr>
            <w:tcW w:w="80" w:type="dxa"/>
            <w:vAlign w:val="bottom"/>
            <w:shd w:val="clear" w:color="auto" w:fill="CCEEFF"/>
          </w:tcPr>
          <w:p>
            <w:pPr>
              <w:spacing w:after="0"/>
              <w:rPr>
                <w:sz w:val="20"/>
                <w:szCs w:val="20"/>
                <w:color w:val="auto"/>
              </w:rPr>
            </w:pPr>
          </w:p>
        </w:tc>
      </w:tr>
      <w:tr>
        <w:trPr>
          <w:trHeight w:val="202"/>
        </w:trPr>
        <w:tc>
          <w:tcPr>
            <w:tcW w:w="26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275,210</w:t>
            </w:r>
          </w:p>
        </w:tc>
        <w:tc>
          <w:tcPr>
            <w:tcW w:w="3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3.1 years</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340" w:type="dxa"/>
            <w:vAlign w:val="bottom"/>
            <w:tcBorders>
              <w:top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275,210</w:t>
            </w:r>
          </w:p>
        </w:tc>
        <w:tc>
          <w:tcPr>
            <w:tcW w:w="3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gridSpan w:val="2"/>
          </w:tcPr>
          <w:p>
            <w:pPr>
              <w:ind w:left="280"/>
              <w:spacing w:after="0"/>
              <w:rPr>
                <w:sz w:val="20"/>
                <w:szCs w:val="20"/>
                <w:color w:val="auto"/>
              </w:rPr>
            </w:pPr>
            <w:r>
              <w:rPr>
                <w:rFonts w:ascii="Times New Roman" w:cs="Times New Roman" w:eastAsia="Times New Roman" w:hAnsi="Times New Roman"/>
                <w:sz w:val="17"/>
                <w:szCs w:val="17"/>
                <w:color w:val="auto"/>
              </w:rPr>
              <w:t>3.1 years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Stock Options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During 2016, the Company established the Azitra, Inc. 2016 Stock Incentive Plan (the Plan) which provides for the granting of stock options and restricted shares to the Company’s employees, officers, directors, advisors and consultants. There are 1,490,595 shares available for granting under the Plan at December 31, 2022 and 2021. Options vest over varying time frames.</w:t>
      </w:r>
    </w:p>
    <w:p>
      <w:pPr>
        <w:spacing w:after="0" w:line="16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2022 and 2021, the Company granted 0 and 495,580, respectively, stock options to acquire shares of common stock. The options vest over varying time frames between two and four years, have a life of ten years and an exercise price of $1.70. During the years ended December 31, 2022 and 2021, the Company recognized stock compensation expense of $184,465 and $306,055, respectively, relating to the issuance of service-based stock options. At December 31, 2022, there was $427,784 of unamortized compensation expense that will be amortized over the remaining vesting period. At December 31, 2022, there were 93,152 performance-based options outstanding with a fair value of $109,551. During the year ended December 31, 2022, the Company did not recognize any compensation expense for performance-based options. The Company determined the options qualified as plain vanilla under the provisions of SAB 107 and the simplified method was used to estimate the expected option life.</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To determine the estimated fair value of the options granted during 2021, the Company used the Black-Scholes option pricing model with the following assumptions: Underlying common stock value of $1.70; Expected term of 7 years; Expected Volatility of 86.0%; Risk Free Interest Rate of 0.66% - 1.26%; and Dividend Yield of 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6" w:name="page137"/>
    <w:bookmarkEnd w:id="136"/>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60" w:type="dxa"/>
            <w:vAlign w:val="bottom"/>
            <w:gridSpan w:val="14"/>
          </w:tcPr>
          <w:p>
            <w:pPr>
              <w:ind w:left="620"/>
              <w:spacing w:after="0"/>
              <w:rPr>
                <w:sz w:val="20"/>
                <w:szCs w:val="20"/>
                <w:color w:val="auto"/>
              </w:rPr>
            </w:pPr>
            <w:r>
              <w:rPr>
                <w:rFonts w:ascii="Times New Roman" w:cs="Times New Roman" w:eastAsia="Times New Roman" w:hAnsi="Times New Roman"/>
                <w:sz w:val="17"/>
                <w:szCs w:val="17"/>
                <w:color w:val="auto"/>
                <w:w w:val="99"/>
              </w:rPr>
              <w:t>The following table summarizes information about options outstanding and exercisable at December 31, 2022: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Warrants Outstanding</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8"/>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Warrants Exercisable</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5"/>
          </w:tcPr>
          <w:p>
            <w:pPr>
              <w:jc w:val="center"/>
              <w:ind w:right="40"/>
              <w:spacing w:after="0" w:line="184"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4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20" w:type="dxa"/>
            <w:vAlign w:val="bottom"/>
          </w:tcPr>
          <w:p>
            <w:pPr>
              <w:spacing w:after="0"/>
              <w:rPr>
                <w:sz w:val="17"/>
                <w:szCs w:val="17"/>
                <w:color w:val="auto"/>
              </w:rPr>
            </w:pPr>
          </w:p>
        </w:tc>
        <w:tc>
          <w:tcPr>
            <w:tcW w:w="1260" w:type="dxa"/>
            <w:vAlign w:val="bottom"/>
            <w:gridSpan w:val="5"/>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4"/>
        </w:trPr>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Options at</w:t>
            </w:r>
          </w:p>
        </w:tc>
        <w:tc>
          <w:tcPr>
            <w:tcW w:w="24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Options at</w:t>
            </w:r>
          </w:p>
        </w:tc>
        <w:tc>
          <w:tcPr>
            <w:tcW w:w="220" w:type="dxa"/>
            <w:vAlign w:val="bottom"/>
          </w:tcPr>
          <w:p>
            <w:pPr>
              <w:spacing w:after="0"/>
              <w:rPr>
                <w:sz w:val="17"/>
                <w:szCs w:val="17"/>
                <w:color w:val="auto"/>
              </w:rPr>
            </w:pPr>
          </w:p>
        </w:tc>
        <w:tc>
          <w:tcPr>
            <w:tcW w:w="1260" w:type="dxa"/>
            <w:vAlign w:val="bottom"/>
            <w:gridSpan w:val="5"/>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30"/>
        </w:trPr>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6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12/31/2022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2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12/31/2022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5"/>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r>
      <w:tr>
        <w:trPr>
          <w:trHeight w:val="204"/>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246,136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94"/>
              </w:rPr>
              <w:t>3.0 years</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w w:val="93"/>
              </w:rPr>
              <w:t>0.48</w:t>
            </w:r>
          </w:p>
        </w:tc>
        <w:tc>
          <w:tcPr>
            <w:tcW w:w="3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246,136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 years</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0.93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231,680</w:t>
            </w:r>
          </w:p>
        </w:tc>
        <w:tc>
          <w:tcPr>
            <w:tcW w:w="240" w:type="dxa"/>
            <w:vAlign w:val="bottom"/>
          </w:tcPr>
          <w:p>
            <w:pPr>
              <w:spacing w:after="0"/>
              <w:rPr>
                <w:sz w:val="17"/>
                <w:szCs w:val="17"/>
                <w:color w:val="auto"/>
              </w:rPr>
            </w:pP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3.0 years</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0.93</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231,680</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3.0 years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Pr>
          <w:p>
            <w:pPr>
              <w:spacing w:after="0"/>
              <w:rPr>
                <w:sz w:val="17"/>
                <w:szCs w:val="17"/>
                <w:color w:val="auto"/>
              </w:rPr>
            </w:pPr>
          </w:p>
        </w:tc>
      </w:tr>
      <w:tr>
        <w:trPr>
          <w:trHeight w:val="23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812,502</w:t>
            </w:r>
          </w:p>
        </w:tc>
        <w:tc>
          <w:tcPr>
            <w:tcW w:w="2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8.3 years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1.70</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411,707</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8.0 years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20"/>
                <w:szCs w:val="20"/>
                <w:color w:val="auto"/>
              </w:rPr>
            </w:pPr>
          </w:p>
        </w:tc>
      </w:tr>
      <w:tr>
        <w:trPr>
          <w:trHeight w:val="202"/>
        </w:trPr>
        <w:tc>
          <w:tcPr>
            <w:tcW w:w="8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1,290,318</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889,523</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8"/>
        </w:trPr>
        <w:tc>
          <w:tcPr>
            <w:tcW w:w="8160" w:type="dxa"/>
            <w:vAlign w:val="bottom"/>
            <w:gridSpan w:val="14"/>
          </w:tcPr>
          <w:p>
            <w:pPr>
              <w:ind w:left="620"/>
              <w:spacing w:after="0"/>
              <w:rPr>
                <w:sz w:val="20"/>
                <w:szCs w:val="20"/>
                <w:color w:val="auto"/>
              </w:rPr>
            </w:pPr>
            <w:r>
              <w:rPr>
                <w:rFonts w:ascii="Times New Roman" w:cs="Times New Roman" w:eastAsia="Times New Roman" w:hAnsi="Times New Roman"/>
                <w:sz w:val="17"/>
                <w:szCs w:val="17"/>
                <w:color w:val="auto"/>
              </w:rPr>
              <w:t>Total stock option activity for the years ended December 31, 2022 and 2021 is summarized as follows: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7"/>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7"/>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5"/>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r>
      <w:tr>
        <w:trPr>
          <w:trHeight w:val="204"/>
        </w:trPr>
        <w:tc>
          <w:tcPr>
            <w:tcW w:w="31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2020</w:t>
            </w:r>
          </w:p>
        </w:tc>
        <w:tc>
          <w:tcPr>
            <w:tcW w:w="2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959,827</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ind w:right="195"/>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495,580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Pr>
          <w:p>
            <w:pPr>
              <w:spacing w:after="0"/>
              <w:rPr>
                <w:sz w:val="17"/>
                <w:szCs w:val="17"/>
                <w:color w:val="auto"/>
              </w:rPr>
            </w:pPr>
          </w:p>
        </w:tc>
      </w:tr>
      <w:tr>
        <w:trPr>
          <w:trHeight w:val="204"/>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(17,750</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shd w:val="clear" w:color="auto" w:fill="CCEEFF"/>
          </w:tcPr>
          <w:p>
            <w:pPr>
              <w:spacing w:after="0"/>
              <w:rPr>
                <w:sz w:val="17"/>
                <w:szCs w:val="17"/>
                <w:color w:val="auto"/>
              </w:rPr>
            </w:pPr>
          </w:p>
        </w:tc>
      </w:tr>
      <w:tr>
        <w:trPr>
          <w:trHeight w:val="22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(55,749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9"/>
                <w:szCs w:val="19"/>
                <w:color w:val="auto"/>
              </w:rPr>
            </w:pPr>
          </w:p>
        </w:tc>
      </w:tr>
      <w:tr>
        <w:trPr>
          <w:trHeight w:val="204"/>
        </w:trPr>
        <w:tc>
          <w:tcPr>
            <w:tcW w:w="31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2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1,381,908</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(888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1.70</w:t>
            </w:r>
          </w:p>
        </w:tc>
        <w:tc>
          <w:tcPr>
            <w:tcW w:w="80" w:type="dxa"/>
            <w:vAlign w:val="bottom"/>
          </w:tcPr>
          <w:p>
            <w:pPr>
              <w:spacing w:after="0"/>
              <w:rPr>
                <w:sz w:val="17"/>
                <w:szCs w:val="17"/>
                <w:color w:val="auto"/>
              </w:rPr>
            </w:pPr>
          </w:p>
        </w:tc>
      </w:tr>
      <w:tr>
        <w:trPr>
          <w:trHeight w:val="23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(90,702</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5.91.41</w:t>
            </w:r>
          </w:p>
        </w:tc>
        <w:tc>
          <w:tcPr>
            <w:tcW w:w="80" w:type="dxa"/>
            <w:vAlign w:val="bottom"/>
            <w:shd w:val="clear" w:color="auto" w:fill="CCEEFF"/>
          </w:tcPr>
          <w:p>
            <w:pPr>
              <w:spacing w:after="0"/>
              <w:rPr>
                <w:sz w:val="20"/>
                <w:szCs w:val="20"/>
                <w:color w:val="auto"/>
              </w:rPr>
            </w:pPr>
          </w:p>
        </w:tc>
      </w:tr>
      <w:tr>
        <w:trPr>
          <w:trHeight w:val="202"/>
        </w:trPr>
        <w:tc>
          <w:tcPr>
            <w:tcW w:w="316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2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1,290,318</w:t>
            </w: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1.33</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157,989 shares available for future grant under the Plan at December 31,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Fair Value Measurements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tables summarize the fair values and levels within the fair value hierarchy in which the fair value measurements fall for assets and liabilities measured on a recurring basis as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31, 2022</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3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2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60" w:type="dxa"/>
            <w:vAlign w:val="bottom"/>
          </w:tcPr>
          <w:p>
            <w:pPr>
              <w:spacing w:after="0"/>
              <w:rPr>
                <w:sz w:val="21"/>
                <w:szCs w:val="21"/>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4"/>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2"/>
        </w:trPr>
        <w:tc>
          <w:tcPr>
            <w:tcW w:w="3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warrants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70,283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70,283</w:t>
            </w:r>
          </w:p>
        </w:tc>
      </w:tr>
      <w:tr>
        <w:trPr>
          <w:trHeight w:val="224"/>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2022 Convertible Notes</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5,600,000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2"/>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520" w:type="dxa"/>
            <w:vAlign w:val="bottom"/>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460" w:type="dxa"/>
            <w:vAlign w:val="bottom"/>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5,670,283</w:t>
            </w:r>
          </w:p>
        </w:tc>
        <w:tc>
          <w:tcPr>
            <w:tcW w:w="440" w:type="dxa"/>
            <w:vAlign w:val="bottom"/>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5,670,283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659"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31, 2021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Liabilities: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Common stock warrants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January 1,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December 31,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of 2022 Convertible Notes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2022 Convertible Notes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60" w:type="dxa"/>
            <w:vAlign w:val="bottom"/>
          </w:tcPr>
          <w:p>
            <w:pPr>
              <w:spacing w:after="0"/>
              <w:rPr>
                <w:sz w:val="20"/>
                <w:szCs w:val="20"/>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240" w:type="dxa"/>
            <w:vAlign w:val="bottom"/>
          </w:tcPr>
          <w:p>
            <w:pPr>
              <w:jc w:val="right"/>
              <w:ind w:right="107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09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3"/>
          </w:tcPr>
          <w:p>
            <w:pPr>
              <w:jc w:val="center"/>
              <w:ind w:left="15"/>
              <w:spacing w:after="0"/>
              <w:rPr>
                <w:sz w:val="20"/>
                <w:szCs w:val="20"/>
                <w:color w:val="auto"/>
              </w:rPr>
            </w:pPr>
            <w:r>
              <w:rPr>
                <w:rFonts w:ascii="Times New Roman" w:cs="Times New Roman" w:eastAsia="Times New Roman" w:hAnsi="Times New Roman"/>
                <w:sz w:val="17"/>
                <w:szCs w:val="17"/>
                <w:color w:val="auto"/>
                <w:w w:val="98"/>
              </w:rPr>
              <w:t>71,104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jc w:val="center"/>
              <w:ind w:left="49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71,104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(821)</w:t>
            </w:r>
          </w:p>
        </w:tc>
        <w:tc>
          <w:tcPr>
            <w:tcW w:w="0" w:type="dxa"/>
            <w:vAlign w:val="bottom"/>
          </w:tcPr>
          <w:p>
            <w:pPr>
              <w:spacing w:after="0"/>
              <w:rPr>
                <w:sz w:val="1"/>
                <w:szCs w:val="1"/>
                <w:color w:val="auto"/>
              </w:rPr>
            </w:pPr>
          </w:p>
        </w:tc>
      </w:tr>
      <w:tr>
        <w:trPr>
          <w:trHeight w:val="197"/>
        </w:trPr>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4,350,000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5,670,283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rPr>
              <w:t>F-18</w:t>
            </w: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2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-1669415</wp:posOffset>
            </wp:positionV>
            <wp:extent cx="7139940" cy="1377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-1247775</wp:posOffset>
            </wp:positionV>
            <wp:extent cx="7139940" cy="1295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-988695</wp:posOffset>
            </wp:positionV>
            <wp:extent cx="7139940" cy="1295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-713105</wp:posOffset>
            </wp:positionV>
            <wp:extent cx="7139940" cy="1377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-429260</wp:posOffset>
            </wp:positionV>
            <wp:extent cx="7139940" cy="1536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9940" cy="15367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0</wp:posOffset>
            </wp:positionV>
            <wp:extent cx="713994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2">
            <w:col w:w="4140" w:space="720"/>
            <w:col w:w="6380"/>
          </w:cols>
          <w:pgMar w:left="320" w:top="659" w:right="339" w:bottom="1440" w:gutter="0" w:footer="0" w:header="0"/>
          <w:type w:val="continuous"/>
        </w:sectPr>
      </w:pPr>
    </w:p>
    <w:bookmarkStart w:id="137" w:name="page138"/>
    <w:bookmarkEnd w:id="137"/>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Fluctuation in the fair value of the Company’s Common stock is the primary driver for the change in the Common Stock Warrant liability valuation during each year. As the fair value of the Common stock increases the value to the holder of the instrument generally increases.</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Fluctuations in the various inputs, including the enterprise value, time to liquidity, volatility, and discount rate are the primary drivers for the changes in valuation of the 2022 Convertible Notes each reporting period. As the fair value of the enterprise value, estimated time to liquidity, volatility, and discount rate increase, the value to the holder of the 2022 Convertible Notes generally increases.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Deferred income taxes are provided on temporary differences between the carrying amounts of assets and liabilities for financial reporting purposes and those for income tax reporting purposes. Deferred income tax assets / (liabilities) as of December 31, 2022 and 2021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72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7,870,665</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6,994,967</w:t>
            </w:r>
          </w:p>
        </w:tc>
        <w:tc>
          <w:tcPr>
            <w:tcW w:w="80" w:type="dxa"/>
            <w:vAlign w:val="bottom"/>
          </w:tcPr>
          <w:p>
            <w:pPr>
              <w:spacing w:after="0"/>
              <w:rPr>
                <w:sz w:val="17"/>
                <w:szCs w:val="17"/>
                <w:color w:val="auto"/>
              </w:rPr>
            </w:pPr>
          </w:p>
        </w:tc>
      </w:tr>
      <w:tr>
        <w:trPr>
          <w:trHeight w:val="20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credits</w:t>
            </w:r>
          </w:p>
        </w:tc>
        <w:tc>
          <w:tcPr>
            <w:tcW w:w="2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1,729,421</w:t>
            </w:r>
          </w:p>
        </w:tc>
        <w:tc>
          <w:tcPr>
            <w:tcW w:w="4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1,216,246</w:t>
            </w:r>
          </w:p>
        </w:tc>
        <w:tc>
          <w:tcPr>
            <w:tcW w:w="80" w:type="dxa"/>
            <w:vAlign w:val="bottom"/>
            <w:shd w:val="clear" w:color="auto" w:fill="CCEEFF"/>
          </w:tcPr>
          <w:p>
            <w:pPr>
              <w:spacing w:after="0"/>
              <w:rPr>
                <w:sz w:val="17"/>
                <w:szCs w:val="17"/>
                <w:color w:val="auto"/>
              </w:rPr>
            </w:pPr>
          </w:p>
        </w:tc>
      </w:tr>
      <w:tr>
        <w:trPr>
          <w:trHeight w:val="204"/>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1,189,975</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2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81,876</w:t>
            </w:r>
          </w:p>
        </w:tc>
        <w:tc>
          <w:tcPr>
            <w:tcW w:w="4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48,288</w:t>
            </w:r>
          </w:p>
        </w:tc>
      </w:tr>
      <w:tr>
        <w:trPr>
          <w:trHeight w:val="222"/>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28,057</w:t>
            </w:r>
          </w:p>
        </w:tc>
        <w:tc>
          <w:tcPr>
            <w:tcW w:w="44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25,240</w:t>
            </w:r>
          </w:p>
        </w:tc>
      </w:tr>
      <w:tr>
        <w:trPr>
          <w:trHeight w:val="204"/>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10,899,994</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8,284,741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4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(234,616)</w:t>
            </w:r>
          </w:p>
        </w:tc>
      </w:tr>
      <w:tr>
        <w:trPr>
          <w:trHeight w:val="190"/>
        </w:trPr>
        <w:tc>
          <w:tcPr>
            <w:tcW w:w="470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Valuation allowance</w:t>
            </w:r>
          </w:p>
        </w:tc>
        <w:tc>
          <w:tcPr>
            <w:tcW w:w="22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(234,616)</w:t>
            </w:r>
          </w:p>
        </w:tc>
        <w:tc>
          <w:tcPr>
            <w:tcW w:w="100" w:type="dxa"/>
            <w:vAlign w:val="bottom"/>
            <w:tcBorders>
              <w:top w:val="single" w:sz="8" w:color="CCEEFF"/>
            </w:tcBorders>
            <w:gridSpan w:val="2"/>
          </w:tcPr>
          <w:p>
            <w:pPr>
              <w:spacing w:after="0"/>
              <w:rPr>
                <w:sz w:val="16"/>
                <w:szCs w:val="16"/>
                <w:color w:val="auto"/>
              </w:rPr>
            </w:pPr>
          </w:p>
        </w:tc>
      </w:tr>
      <w:tr>
        <w:trPr>
          <w:trHeight w:val="23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(liability) asset</w:t>
            </w:r>
          </w:p>
        </w:tc>
        <w:tc>
          <w:tcPr>
            <w:tcW w:w="2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(10,899,994)</w:t>
            </w:r>
          </w:p>
        </w:tc>
        <w:tc>
          <w:tcPr>
            <w:tcW w:w="4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(8,050,125)</w:t>
            </w:r>
          </w:p>
        </w:tc>
      </w:tr>
      <w:tr>
        <w:trPr>
          <w:trHeight w:val="202"/>
        </w:trPr>
        <w:tc>
          <w:tcPr>
            <w:tcW w:w="470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gridSpan w:val="2"/>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has federal net operating loss carryforwards of approximately $29,192,000 and $25,954,000 for the tax years ending December 31, 2022 and 2021, respectively, of which $1,285,000 will expire in tax years 2036 through 2037 and approximately $27,907,000 which does not expire. The Company has state net operating loss carryforwards of approximately $29,374,000 and $25,947,000 for the tax years ending December 31, 2022 and 2021, respectively, which will expire in tax years 2036 through 2042.</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has federal research tax credits of approximately $1,235,000 and $859,000 for the tax years ending December 31, 2022 and 2021, respectively, which expire in tax years 2039 through 2042. The Company has state research tax credits of approximately $350,000 and $249,000 for the tax years ending December 31, 2022 and 2021, respectively, of which $60,000 will expire in tax year 2036, $100,000 will expire in tax year 2037 and the remainder can be carried forward indefinitely. The Company has Canadian research tax credits of approximately $218,000 and $138,000 for the tax years ending December 31, 2022 and 2021, respectively, which expire in tax years 2039 through 2042.</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8" w:name="page139"/>
    <w:bookmarkEnd w:id="138"/>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U.S. Internal Revenue Code Section 382 imposes an annual limit on the ability of a corporation that undergoes a greater than 50% ownership change to use its net operating loss carry forwards to reduce its tax liability. If in the future the Company undergoes an ownership change exceeding the 50% limitation threshold imposed by Section 382, the Company’s net operating loss carryforwards may be significantly limited as to the amount of use in a particular year. In addition, all or a portion of the Company’s net operating loss carryforwards incurred before 2018, may expire unutilized.</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realization of deferred tax assets is dependent upon the Company’s ability to generate future taxable income during the periods in which the temporary differences become deductible. Based on the Company’s recent earnings history and projected future U.S. earnings, management believes that it is more likely than not that its federal and state deferred tax assets will not be fully realized in the foreseeable future. As a result of this assessment, management believes that a full valuation allowance against its net federal and state deferred tax assets is required.</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applies the provisions of ASC 740-10 to account for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that not that the tax position will be sustained on examination by the taxing authorities, based on the technical merits of the position. The Company has determined that it has no significant uncertain tax positions requiring recognition and measurement under ASC 740-10.</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is subject to U.S. federal income tax, Connecticut state income tax and Canada branch tax. The Company has not been audited by the IRS, state, or foreign tax authorities in connection with income taxes. The Company’s tax years remain open to examination for all federal and state tax matters until its net operating loss carryforwards are utilized and the applicable statute of limitations have expired.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will recognize interest and penalties related to unrecognized tax benefits, if applicable, as a component of 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14. Net Loss Per Share</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53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Basic and diluted net loss per share were calculated as follows:</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3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numerator for basic and diluted net loss per share is as follows:</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2,768,984</w:t>
            </w:r>
          </w:p>
        </w:tc>
        <w:tc>
          <w:tcPr>
            <w:tcW w:w="3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2,768,984</w:t>
            </w:r>
          </w:p>
        </w:tc>
        <w:tc>
          <w:tcPr>
            <w:tcW w:w="0" w:type="dxa"/>
            <w:vAlign w:val="bottom"/>
          </w:tcPr>
          <w:p>
            <w:pPr>
              <w:spacing w:after="0"/>
              <w:rPr>
                <w:sz w:val="1"/>
                <w:szCs w:val="1"/>
                <w:color w:val="auto"/>
              </w:rPr>
            </w:pPr>
          </w:p>
        </w:tc>
      </w:tr>
      <w:tr>
        <w:trPr>
          <w:trHeight w:val="217"/>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13,449,350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11,708,659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The denominator is as follows:</w:t>
            </w:r>
          </w:p>
        </w:tc>
        <w:tc>
          <w:tcPr>
            <w:tcW w:w="2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34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stock outstanding, basic and diluted</w:t>
            </w: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1,043,990</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1,034,299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$0.01 warrants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11,467</w:t>
            </w:r>
          </w:p>
        </w:tc>
        <w:tc>
          <w:tcPr>
            <w:tcW w:w="3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11,467</w:t>
            </w:r>
          </w:p>
        </w:tc>
        <w:tc>
          <w:tcPr>
            <w:tcW w:w="0" w:type="dxa"/>
            <w:vAlign w:val="bottom"/>
          </w:tcPr>
          <w:p>
            <w:pPr>
              <w:spacing w:after="0"/>
              <w:rPr>
                <w:sz w:val="1"/>
                <w:szCs w:val="1"/>
                <w:color w:val="auto"/>
              </w:rPr>
            </w:pPr>
          </w:p>
        </w:tc>
      </w:tr>
      <w:tr>
        <w:trPr>
          <w:trHeight w:val="217"/>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1,055,457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1,045,766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right"/>
              <w:ind w:right="1915"/>
              <w:spacing w:after="0"/>
              <w:rPr>
                <w:sz w:val="20"/>
                <w:szCs w:val="20"/>
                <w:color w:val="auto"/>
              </w:rPr>
            </w:pPr>
            <w:r>
              <w:rPr>
                <w:rFonts w:ascii="Times New Roman" w:cs="Times New Roman" w:eastAsia="Times New Roman" w:hAnsi="Times New Roman"/>
                <w:sz w:val="17"/>
                <w:szCs w:val="17"/>
                <w:color w:val="auto"/>
              </w:rPr>
              <w:t>F-20</w:t>
            </w: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39" w:name="page140"/>
    <w:bookmarkEnd w:id="139"/>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loss per share, basic and diluted is as follows:</w:t>
      </w:r>
    </w:p>
    <w:p>
      <w:pPr>
        <w:spacing w:after="0" w:line="22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4718050</wp:posOffset>
            </wp:positionH>
            <wp:positionV relativeFrom="paragraph">
              <wp:posOffset>18415</wp:posOffset>
            </wp:positionV>
            <wp:extent cx="235839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pacing w:after="0" w:line="27" w:lineRule="exact"/>
        <w:rPr>
          <w:sz w:val="20"/>
          <w:szCs w:val="20"/>
          <w:color w:val="auto"/>
        </w:rPr>
      </w:pPr>
    </w:p>
    <w:p>
      <w:pPr>
        <w:ind w:left="8100"/>
        <w:spacing w:after="0"/>
        <w:tabs>
          <w:tab w:leader="none" w:pos="1012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3994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9940" cy="146050"/>
                    </a:xfrm>
                    <a:prstGeom prst="rect">
                      <a:avLst/>
                    </a:prstGeom>
                    <a:noFill/>
                  </pic:spPr>
                </pic:pic>
              </a:graphicData>
            </a:graphic>
          </wp:anchor>
        </w:drawing>
      </w:r>
    </w:p>
    <w:p>
      <w:pPr>
        <w:spacing w:after="0" w:line="14" w:lineRule="exact"/>
        <w:rPr>
          <w:sz w:val="20"/>
          <w:szCs w:val="20"/>
          <w:color w:val="auto"/>
        </w:rPr>
      </w:pPr>
    </w:p>
    <w:p>
      <w:pPr>
        <w:spacing w:after="0"/>
        <w:tabs>
          <w:tab w:leader="none" w:pos="7400" w:val="left"/>
          <w:tab w:leader="none" w:pos="8660" w:val="left"/>
          <w:tab w:leader="none" w:pos="9460" w:val="left"/>
          <w:tab w:leader="none" w:pos="10700" w:val="left"/>
        </w:tabs>
        <w:rPr>
          <w:sz w:val="20"/>
          <w:szCs w:val="20"/>
          <w:color w:val="auto"/>
        </w:rPr>
      </w:pPr>
      <w:r>
        <w:rPr>
          <w:rFonts w:ascii="Times New Roman" w:cs="Times New Roman" w:eastAsia="Times New Roman" w:hAnsi="Times New Roman"/>
          <w:sz w:val="17"/>
          <w:szCs w:val="17"/>
          <w:color w:val="auto"/>
        </w:rPr>
        <w:t>Net loss per share, basic and diluted</w:t>
      </w:r>
      <w:r>
        <w:rPr>
          <w:sz w:val="20"/>
          <w:szCs w:val="20"/>
          <w:color w:val="auto"/>
        </w:rPr>
        <w:tab/>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(12.74)</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(11.20)</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potential common stock equivalents, presented based on amounts outstanding at each period end, were excluded from the calculation of diluted net loss per share for the periods indicated because including them would have had an anti-dilutive effect: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p>
        </w:tc>
        <w:tc>
          <w:tcPr>
            <w:tcW w:w="254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74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4"/>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to purchase shares of common stock</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1,290,318</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1,381,908</w:t>
            </w:r>
          </w:p>
        </w:tc>
        <w:tc>
          <w:tcPr>
            <w:tcW w:w="100" w:type="dxa"/>
            <w:vAlign w:val="bottom"/>
            <w:shd w:val="clear" w:color="auto" w:fill="CCEEFF"/>
          </w:tcPr>
          <w:p>
            <w:pPr>
              <w:spacing w:after="0"/>
              <w:rPr>
                <w:sz w:val="17"/>
                <w:szCs w:val="17"/>
                <w:color w:val="auto"/>
              </w:rPr>
            </w:pPr>
          </w:p>
        </w:tc>
      </w:tr>
      <w:tr>
        <w:trPr>
          <w:trHeight w:val="22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Warrants outstanding</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263,743</w:t>
            </w:r>
          </w:p>
        </w:tc>
        <w:tc>
          <w:tcPr>
            <w:tcW w:w="4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263,743</w:t>
            </w:r>
          </w:p>
        </w:tc>
      </w:tr>
      <w:tr>
        <w:trPr>
          <w:trHeight w:val="217"/>
        </w:trPr>
        <w:tc>
          <w:tcPr>
            <w:tcW w:w="74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1,554,061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1,645,651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is subject to legal proceedings or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Effective January 26, 2022, the Company entered into an Exclusive License Agreement (the Agreement) with an unrelated third party. Under the Agreement, the Company is granted an exclusive license for certain patents and a non-exclusive license for certain know-how. The Agreement continues until the later of the expiration of the last to expire licensed patent or ten years after the first commercial sale of the first licensed therapeutic or non-therapeutic product. The Company may terminate the Agreement at any time by providing at least 30 days written notice to the third party. The Agreement is also terminated upon breach of a material obligation under the agreement or bankruptcy. Upon any termination of the agreement, neither party is relieved of obligations incurred prior to the termination.</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the year ended December 31, 2022, the Company capitalized payments made under this license agreement in the amount of $65,510. These capitalized costs will be amortized over the life of the licensed patents, once issued.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Leases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leases office and lab space in Branford, CT; Groton, CT; and Laval, Quebec. The Company’s leases expire at various dates through May 31, 2027. Most leases are for a fixed term and for a fixed amount. The Company is not a party to any leases that have step rent provisions, escalation clauses, capital improvement funding or payment increases based on any index or rate.</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2020, the Company entered into a new lease agreement for the Company’s primary office and laboratory space in Branford, CT. The Branford lease requires monthly payments of $13,033 for the first year of the lease, which increases approximately 2% in each of the following years. The Branford lease also requires the Company to pay a pro-rata share of common area maintenance.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0" w:name="page141"/>
    <w:bookmarkEnd w:id="140"/>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May 2021, the Company entered into a new lease for office and laboratory space in Groton, CT. The Groton lease required monthly payments of $4,234, which was increased to $6,824 in September 2021 upon leasing additional space. The Groton lease is initially for a one-year term, with up to three additional years renewal available.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Future minimum payments under non-cancelable operating leases with initial or remaining terms in excess of one year during each of the next five years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660" w:type="dxa"/>
            <w:vAlign w:val="bottom"/>
            <w:gridSpan w:val="2"/>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329,937</w:t>
            </w:r>
          </w:p>
        </w:tc>
        <w:tc>
          <w:tcPr>
            <w:tcW w:w="80" w:type="dxa"/>
            <w:vAlign w:val="bottom"/>
            <w:shd w:val="clear" w:color="auto" w:fill="CCEEFF"/>
          </w:tcPr>
          <w:p>
            <w:pPr>
              <w:spacing w:after="0"/>
              <w:rPr>
                <w:sz w:val="17"/>
                <w:szCs w:val="17"/>
                <w:color w:val="auto"/>
              </w:rPr>
            </w:pPr>
          </w:p>
        </w:tc>
      </w:tr>
      <w:tr>
        <w:trPr>
          <w:trHeight w:val="204"/>
        </w:trPr>
        <w:tc>
          <w:tcPr>
            <w:tcW w:w="92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335,988</w:t>
            </w:r>
          </w:p>
        </w:tc>
        <w:tc>
          <w:tcPr>
            <w:tcW w:w="80" w:type="dxa"/>
            <w:vAlign w:val="bottom"/>
          </w:tcPr>
          <w:p>
            <w:pPr>
              <w:spacing w:after="0"/>
              <w:rPr>
                <w:sz w:val="17"/>
                <w:szCs w:val="17"/>
                <w:color w:val="auto"/>
              </w:rPr>
            </w:pPr>
          </w:p>
        </w:tc>
      </w:tr>
      <w:tr>
        <w:trPr>
          <w:trHeight w:val="204"/>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277,209</w:t>
            </w:r>
          </w:p>
        </w:tc>
        <w:tc>
          <w:tcPr>
            <w:tcW w:w="80" w:type="dxa"/>
            <w:vAlign w:val="bottom"/>
            <w:shd w:val="clear" w:color="auto" w:fill="CCEEFF"/>
          </w:tcPr>
          <w:p>
            <w:pPr>
              <w:spacing w:after="0"/>
              <w:rPr>
                <w:sz w:val="17"/>
                <w:szCs w:val="17"/>
                <w:color w:val="auto"/>
              </w:rPr>
            </w:pPr>
          </w:p>
        </w:tc>
      </w:tr>
      <w:tr>
        <w:trPr>
          <w:trHeight w:val="204"/>
        </w:trPr>
        <w:tc>
          <w:tcPr>
            <w:tcW w:w="92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204,159</w:t>
            </w:r>
          </w:p>
        </w:tc>
        <w:tc>
          <w:tcPr>
            <w:tcW w:w="80" w:type="dxa"/>
            <w:vAlign w:val="bottom"/>
          </w:tcPr>
          <w:p>
            <w:pPr>
              <w:spacing w:after="0"/>
              <w:rPr>
                <w:sz w:val="17"/>
                <w:szCs w:val="17"/>
                <w:color w:val="auto"/>
              </w:rPr>
            </w:pPr>
          </w:p>
        </w:tc>
      </w:tr>
      <w:tr>
        <w:trPr>
          <w:trHeight w:val="204"/>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76,324</w:t>
            </w:r>
          </w:p>
        </w:tc>
      </w:tr>
      <w:tr>
        <w:trPr>
          <w:trHeight w:val="204"/>
        </w:trPr>
        <w:tc>
          <w:tcPr>
            <w:tcW w:w="9220" w:type="dxa"/>
            <w:vAlign w:val="bottom"/>
          </w:tcPr>
          <w:p>
            <w:pPr>
              <w:spacing w:after="0"/>
              <w:rPr>
                <w:sz w:val="20"/>
                <w:szCs w:val="20"/>
                <w:color w:val="auto"/>
              </w:rPr>
            </w:pPr>
            <w:r>
              <w:rPr>
                <w:rFonts w:ascii="Times New Roman" w:cs="Times New Roman" w:eastAsia="Times New Roman" w:hAnsi="Times New Roman"/>
                <w:sz w:val="17"/>
                <w:szCs w:val="17"/>
                <w:color w:val="auto"/>
              </w:rPr>
              <w:t>Total future undiscounted lease payments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1,223,617</w:t>
            </w:r>
          </w:p>
        </w:tc>
        <w:tc>
          <w:tcPr>
            <w:tcW w:w="80" w:type="dxa"/>
            <w:vAlign w:val="bottom"/>
          </w:tcPr>
          <w:p>
            <w:pPr>
              <w:spacing w:after="0"/>
              <w:rPr>
                <w:sz w:val="17"/>
                <w:szCs w:val="17"/>
                <w:color w:val="auto"/>
              </w:rPr>
            </w:pPr>
          </w:p>
        </w:tc>
      </w:tr>
      <w:tr>
        <w:trPr>
          <w:trHeight w:val="237"/>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(95,337)</w:t>
            </w:r>
          </w:p>
        </w:tc>
      </w:tr>
      <w:tr>
        <w:trPr>
          <w:trHeight w:val="202"/>
        </w:trPr>
        <w:tc>
          <w:tcPr>
            <w:tcW w:w="9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20" w:type="dxa"/>
            <w:vAlign w:val="bottom"/>
            <w:tcBorders>
              <w:top w:val="single" w:sz="8" w:color="CCEEFF"/>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1,128,280</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Rent expense for all operating leases was $338,864 for the year ended December 31, 2022. The weighted average lease term for all operating leases is 3.8 years. The weighted average discount rate for all operating leases is 4.25%.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Retirement Plan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Effective January 1, 2019, the Company sponsors a 401(k) plan that covers substantially all employees. In order to be eligible to participate, an employee must complete two consecutive months of service and work a minimum of two hundred and fifty hours or work 1,000 hours in their first year of service. Employees may make pre-tax deferrals upon meeting the Plan eligibility requirements. Effective January 1, 2020, the Plan was transitioned to a safe harbor plan in which highly compensated employees are not eligible for matching contributions and non-highly compensated employees earn 100% match on first 3% contributed and 50% on the next 2% contributed. Total employer matching contributions were $23,466 and $31,548 for the years ended December 31, 2022 and 2021,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Concentration of Credit Risk</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consist principally of cash and accounts receivable.</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the years ended December 31, 2022 and 2021, all grant revenue was from one grantor and three grantors, respectively, and all service revenue was from one customer for both years.</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cash balance identified in the balance sheet is held in an account with a financial institution and insured by the Federal Deposit Insurance Corporation (FDIC) up to $250,000. At times, cash maintained on deposit may be in excess of FDIC limits.</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early March 2020, there was a global outbreak of COVID-19 that has resulted in significant changes in the global economy. While the Company has not experienced any disruptions to its business operations to date, these changes, including a potential economic downturn, and any potential resulting direct or indirect negative impact to the Company cannot be determined, however they could have a prospective material impact to the Company’s business, cash flows and liquidity.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1" w:name="page142"/>
    <w:bookmarkEnd w:id="141"/>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Related Parties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earned service revenue from an entity who was also an investor in the Company’s Series B Preferred Stock financing (see Note 9). Total related party revenue was $284,000 and $110,000 for the years ended December 31, 2022 and 2021, respectively and accounts receivable due from the related party was $175,000 and $125,000 at December 31, 2022 and 2021, respectively. Contract liabilities from the related party were $156,000 and $15,000 at December 31, 2022 and 2021, respectively.</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September 2022 the Company entered into a convertible promissory note totaling $4,350,000 of which $4,000,000 was attributable to an entity who was also an investor in the Company’s Series A, A-1, and B Preferred Stock financing. (See Note 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Subsequent Events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has evaluated events occurring between December 31, 2022 and June 13, 2023, the date the financial statements were available to be issued.</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January 2023, the Company elected to convert the 2021 Convertible Note (see Note 7), including interest accrued but not yet paid of $120,058 at a conversion price of $48.00 into 23,335 shares of its Series B Preferred Stock in accordance with the terms outlined in the Note Purchase Agreement.</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2023, the 2022 Convertible Notes were amended to extend the maturity date to March 31, 2023 and to change the conversion price upon a Qualified Financing or Change in Control event to $30 million divided by the number of shares of the Company’s common stock issued and outstanding, on a fully diluted basis, immediately prior to the close of the Qualified Financing or Change in Control event.</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March 2023, the Company’s Board of Directors and stockholders approved the 2023 Stock Incentive Plan (“2023 Plan”); however, no grants shall be made until the date which the proposed forward stock split and increase in the authorized shares of common stock becomes effective which is expected to occur upon the effectiveness of our registration statement of which this prospectus forms a part. The 2023 Plan allows the Committee to grant up to 2,000,000 shares of Common Stock in the form of incentive and non-statutory stock options, restricted stock awards, restricted stock units, and other stock-based awards to employees, directors, and non-employees. As of March 20, 2023, there were no awards issued under the 2023 Plan.</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On May 17, 2023, the Board of Directors approved a forward stock split at a ratio of 7.1-for-1 upon the effectiveness of the registration statement of which this prospectus forms a part. The Board of Directors also approved an increase in the authorized shares of the Company’s Common Stock to 100,000,000 along with a change in the Common Stock par value to $0.0001. All references to common stock, options to purchase common stock, share data, per share data and related information contained in the consolidated financial statements and related footnotes have been retrospectively adjusted, where applicable, to reflect the effect of the stock split, change in par value of our Common Stock, and the adjustment of the preferred stock conversion ratios, where applicable. Accordingly, an adjustment was made between common stock and additional paid-in-capital in the consolidated balance sheets to reflect the new values after the stock split.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80" w:type="dxa"/>
            <w:vAlign w:val="bottom"/>
          </w:tcPr>
          <w:p>
            <w:pPr>
              <w:spacing w:after="0"/>
              <w:rPr>
                <w:sz w:val="20"/>
                <w:szCs w:val="20"/>
                <w:color w:val="auto"/>
              </w:rPr>
            </w:pP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4,400,327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3,492,656</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182,820</w:t>
            </w: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credits receivable</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40,525</w:t>
            </w:r>
          </w:p>
        </w:tc>
        <w:tc>
          <w:tcPr>
            <w:tcW w:w="18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69,666</w:t>
            </w: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 receivable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13,722</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13,722</w:t>
            </w: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offering costs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216,886</w:t>
            </w:r>
          </w:p>
        </w:tc>
        <w:tc>
          <w:tcPr>
            <w:tcW w:w="80" w:type="dxa"/>
            <w:vAlign w:val="bottom"/>
            <w:shd w:val="clear" w:color="auto" w:fill="CCEEFF"/>
          </w:tcPr>
          <w:p>
            <w:pPr>
              <w:spacing w:after="0"/>
              <w:rPr>
                <w:sz w:val="17"/>
                <w:szCs w:val="17"/>
                <w:color w:val="auto"/>
              </w:rPr>
            </w:pPr>
          </w:p>
        </w:tc>
      </w:tr>
      <w:tr>
        <w:trPr>
          <w:trHeight w:val="222"/>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409,170</w:t>
            </w:r>
          </w:p>
        </w:tc>
        <w:tc>
          <w:tcPr>
            <w:tcW w:w="18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160,133</w:t>
            </w:r>
          </w:p>
        </w:tc>
        <w:tc>
          <w:tcPr>
            <w:tcW w:w="80" w:type="dxa"/>
            <w:vAlign w:val="bottom"/>
          </w:tcPr>
          <w:p>
            <w:pPr>
              <w:spacing w:after="0"/>
              <w:rPr>
                <w:sz w:val="19"/>
                <w:szCs w:val="19"/>
                <w:color w:val="auto"/>
              </w:rPr>
            </w:pPr>
          </w:p>
        </w:tc>
      </w:tr>
      <w:tr>
        <w:trPr>
          <w:trHeight w:val="204"/>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4,863,744</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4,135,883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736,423</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846,958</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47,546</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47,507</w:t>
            </w: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Financing lease right-of-use asset</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43,872</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899,619</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1,116,697</w:t>
            </w: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Intangible assets, net</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162,240</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219,567</w:t>
            </w:r>
          </w:p>
        </w:tc>
        <w:tc>
          <w:tcPr>
            <w:tcW w:w="80" w:type="dxa"/>
            <w:vAlign w:val="bottom"/>
            <w:shd w:val="clear" w:color="auto" w:fill="CCEEFF"/>
          </w:tcPr>
          <w:p>
            <w:pPr>
              <w:spacing w:after="0"/>
              <w:rPr>
                <w:sz w:val="17"/>
                <w:szCs w:val="17"/>
                <w:color w:val="auto"/>
              </w:rPr>
            </w:pPr>
          </w:p>
        </w:tc>
      </w:tr>
      <w:tr>
        <w:trPr>
          <w:trHeight w:val="222"/>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patent costs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736,800</w:t>
            </w:r>
          </w:p>
        </w:tc>
        <w:tc>
          <w:tcPr>
            <w:tcW w:w="18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800,831</w:t>
            </w:r>
          </w:p>
        </w:tc>
        <w:tc>
          <w:tcPr>
            <w:tcW w:w="80" w:type="dxa"/>
            <w:vAlign w:val="bottom"/>
          </w:tcPr>
          <w:p>
            <w:pPr>
              <w:spacing w:after="0"/>
              <w:rPr>
                <w:sz w:val="19"/>
                <w:szCs w:val="19"/>
                <w:color w:val="auto"/>
              </w:rPr>
            </w:pPr>
          </w:p>
        </w:tc>
      </w:tr>
      <w:tr>
        <w:trPr>
          <w:trHeight w:val="210"/>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assets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1,890,077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2,184,602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4"/>
        </w:trPr>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7,490,244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7,167,443</w:t>
            </w:r>
          </w:p>
        </w:tc>
        <w:tc>
          <w:tcPr>
            <w:tcW w:w="80" w:type="dxa"/>
            <w:vAlign w:val="bottom"/>
            <w:shd w:val="clear" w:color="auto" w:fill="CCEEFF"/>
          </w:tcPr>
          <w:p>
            <w:pPr>
              <w:spacing w:after="0"/>
              <w:rPr>
                <w:sz w:val="19"/>
                <w:szCs w:val="19"/>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2"/>
        </w:trPr>
        <w:tc>
          <w:tcPr>
            <w:tcW w:w="5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PREFERRED STOCK, AND STOCKHOLDERS’ EQUITY</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417,928</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784,687</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financing lease liability</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14,254</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operating lease liability</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301,423</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287,384</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720,095</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993,961</w:t>
            </w:r>
          </w:p>
        </w:tc>
        <w:tc>
          <w:tcPr>
            <w:tcW w:w="80" w:type="dxa"/>
            <w:vAlign w:val="bottom"/>
          </w:tcPr>
          <w:p>
            <w:pPr>
              <w:spacing w:after="0"/>
              <w:rPr>
                <w:sz w:val="17"/>
                <w:szCs w:val="17"/>
                <w:color w:val="auto"/>
              </w:rPr>
            </w:pPr>
          </w:p>
        </w:tc>
      </w:tr>
      <w:tr>
        <w:trPr>
          <w:trHeight w:val="23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Contract liabilities</w:t>
            </w: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156,000</w:t>
            </w:r>
          </w:p>
        </w:tc>
        <w:tc>
          <w:tcPr>
            <w:tcW w:w="80" w:type="dxa"/>
            <w:vAlign w:val="bottom"/>
            <w:shd w:val="clear" w:color="auto" w:fill="CCEEFF"/>
          </w:tcPr>
          <w:p>
            <w:pPr>
              <w:spacing w:after="0"/>
              <w:rPr>
                <w:sz w:val="20"/>
                <w:szCs w:val="20"/>
                <w:color w:val="auto"/>
              </w:rPr>
            </w:pPr>
          </w:p>
        </w:tc>
      </w:tr>
      <w:tr>
        <w:trPr>
          <w:trHeight w:val="190"/>
        </w:trPr>
        <w:tc>
          <w:tcPr>
            <w:tcW w:w="59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current liabilities</w:t>
            </w:r>
          </w:p>
        </w:tc>
        <w:tc>
          <w:tcPr>
            <w:tcW w:w="10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1,453,700</w:t>
            </w: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2,222,032</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4"/>
        </w:trPr>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Long-term financing lease liability</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29,952</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Long-term operating lease liability</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613,572</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840,896</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60,933</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70,283</w:t>
            </w:r>
          </w:p>
        </w:tc>
      </w:tr>
      <w:tr>
        <w:trPr>
          <w:trHeight w:val="23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Convertible notes payable, net</w:t>
            </w: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6,600,000</w:t>
            </w:r>
          </w:p>
        </w:tc>
        <w:tc>
          <w:tcPr>
            <w:tcW w:w="80" w:type="dxa"/>
            <w:vAlign w:val="bottom"/>
            <w:shd w:val="clear" w:color="auto" w:fill="CCEEFF"/>
          </w:tcPr>
          <w:p>
            <w:pPr>
              <w:spacing w:after="0"/>
              <w:rPr>
                <w:sz w:val="20"/>
                <w:szCs w:val="20"/>
                <w:color w:val="auto"/>
              </w:rPr>
            </w:pPr>
          </w:p>
        </w:tc>
      </w:tr>
      <w:tr>
        <w:trPr>
          <w:trHeight w:val="195"/>
        </w:trPr>
        <w:tc>
          <w:tcPr>
            <w:tcW w:w="59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liabilities</w:t>
            </w:r>
          </w:p>
        </w:tc>
        <w:tc>
          <w:tcPr>
            <w:tcW w:w="106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2,158,157</w:t>
            </w:r>
          </w:p>
        </w:tc>
        <w:tc>
          <w:tcPr>
            <w:tcW w:w="34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9,733,211</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204"/>
        </w:trPr>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13)</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7140" w:type="dxa"/>
            <w:vAlign w:val="bottom"/>
            <w:gridSpan w:val="3"/>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A convertible preferred stock; $0.0001 par value; 205,385 shares authorized at September</w:t>
            </w:r>
          </w:p>
        </w:tc>
        <w:tc>
          <w:tcPr>
            <w:tcW w:w="1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4"/>
        </w:trPr>
        <w:tc>
          <w:tcPr>
            <w:tcW w:w="7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30, 2023 and December 31, 2022; 0 and 205,385 shares issued and outstanding at September 30,</w:t>
            </w: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7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2023 and December 31, 2022 respectively; liquidation value of $0 and $3,337,506 at September</w:t>
            </w: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30, 2023 and December 31, 2022 respectively</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3,272,944</w:t>
            </w:r>
          </w:p>
        </w:tc>
        <w:tc>
          <w:tcPr>
            <w:tcW w:w="80" w:type="dxa"/>
            <w:vAlign w:val="bottom"/>
            <w:shd w:val="clear" w:color="auto" w:fill="CCEEFF"/>
          </w:tcPr>
          <w:p>
            <w:pPr>
              <w:spacing w:after="0"/>
              <w:rPr>
                <w:sz w:val="19"/>
                <w:szCs w:val="19"/>
                <w:color w:val="auto"/>
              </w:rPr>
            </w:pPr>
          </w:p>
        </w:tc>
      </w:tr>
      <w:tr>
        <w:trPr>
          <w:trHeight w:val="188"/>
        </w:trPr>
        <w:tc>
          <w:tcPr>
            <w:tcW w:w="714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A-1 convertible preferred stock; $0.0001 par value; 380,657 shares authorized at</w:t>
            </w: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71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September 30, 2023 and December 31, 2022; 0 and 380,657 shares issued and outstanding at</w:t>
            </w: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September 30, 2023 and December 31, 2022 respectively; liquidation value</w:t>
            </w:r>
          </w:p>
        </w:tc>
        <w:tc>
          <w:tcPr>
            <w:tcW w:w="122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of $0 and</w:t>
            </w: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$14,274,638 as of September 30, 2023 and December 31, 2022, respectively</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14,100,533</w:t>
            </w:r>
          </w:p>
        </w:tc>
      </w:tr>
      <w:tr>
        <w:trPr>
          <w:trHeight w:val="188"/>
        </w:trPr>
        <w:tc>
          <w:tcPr>
            <w:tcW w:w="7140" w:type="dxa"/>
            <w:vAlign w:val="bottom"/>
            <w:gridSpan w:val="3"/>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B convertible preferred stock; $0.0001 par value; 851,108 shares authorized at September</w:t>
            </w:r>
          </w:p>
        </w:tc>
        <w:tc>
          <w:tcPr>
            <w:tcW w:w="1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4"/>
        </w:trPr>
        <w:tc>
          <w:tcPr>
            <w:tcW w:w="7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30, 2023 and December 31, 2022; 0 and 391,303 shares issued and outstanding at September 30,</w:t>
            </w: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7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3023 and December 31, 2022, respectively; liquidation value of $0 and $17,000,159 as of</w:t>
            </w: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2023 December 31, 2022 respectively</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16,321,065</w:t>
            </w:r>
          </w:p>
        </w:tc>
      </w:tr>
      <w:tr>
        <w:trPr>
          <w:trHeight w:val="204"/>
        </w:trPr>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equity (deficit)</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714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auto"/>
              </w:rPr>
              <w:t>Common stock; $0.0001 par value, 100,000,000 shares authorized at September 30, 2023 and</w:t>
            </w: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71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December 31, 2022, 12,097,643 and 1,043,988 shares issued and outstanding at September 30,</w:t>
            </w: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2023 and December 31, 2022, respectively</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1,210</w:t>
            </w:r>
          </w:p>
        </w:tc>
        <w:tc>
          <w:tcPr>
            <w:tcW w:w="180" w:type="dxa"/>
            <w:vAlign w:val="bottom"/>
          </w:tcPr>
          <w:p>
            <w:pPr>
              <w:spacing w:after="0"/>
              <w:rPr>
                <w:sz w:val="19"/>
                <w:szCs w:val="19"/>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104</w:t>
            </w: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51,475,425</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1,054,138</w:t>
            </w:r>
          </w:p>
        </w:tc>
        <w:tc>
          <w:tcPr>
            <w:tcW w:w="80" w:type="dxa"/>
            <w:vAlign w:val="bottom"/>
            <w:shd w:val="clear" w:color="auto" w:fill="CCEEFF"/>
          </w:tcPr>
          <w:p>
            <w:pPr>
              <w:spacing w:after="0"/>
              <w:rPr>
                <w:sz w:val="17"/>
                <w:szCs w:val="17"/>
                <w:color w:val="auto"/>
              </w:rPr>
            </w:pPr>
          </w:p>
        </w:tc>
      </w:tr>
      <w:tr>
        <w:trPr>
          <w:trHeight w:val="222"/>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(46,144,548)</w:t>
            </w:r>
          </w:p>
        </w:tc>
        <w:tc>
          <w:tcPr>
            <w:tcW w:w="180" w:type="dxa"/>
            <w:vAlign w:val="bottom"/>
          </w:tcPr>
          <w:p>
            <w:pPr>
              <w:spacing w:after="0"/>
              <w:rPr>
                <w:sz w:val="19"/>
                <w:szCs w:val="19"/>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(37,314,552)</w:t>
            </w:r>
          </w:p>
        </w:tc>
      </w:tr>
      <w:tr>
        <w:trPr>
          <w:trHeight w:val="224"/>
        </w:trPr>
        <w:tc>
          <w:tcPr>
            <w:tcW w:w="5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stockholders’ equity (deficit)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5,332,087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(36,260,310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2"/>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preferred stock, and stockholders’ equity (deficit)</w:t>
            </w:r>
          </w:p>
        </w:tc>
        <w:tc>
          <w:tcPr>
            <w:tcW w:w="10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7,490,244</w:t>
            </w:r>
          </w:p>
        </w:tc>
        <w:tc>
          <w:tcPr>
            <w:tcW w:w="340" w:type="dxa"/>
            <w:vAlign w:val="bottom"/>
          </w:tcPr>
          <w:p>
            <w:pPr>
              <w:spacing w:after="0"/>
              <w:rPr>
                <w:sz w:val="17"/>
                <w:szCs w:val="17"/>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7,167,443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908"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For the Nine</w:t>
            </w:r>
          </w:p>
        </w:tc>
        <w:tc>
          <w:tcPr>
            <w:tcW w:w="160" w:type="dxa"/>
            <w:vAlign w:val="bottom"/>
          </w:tcPr>
          <w:p>
            <w:pPr>
              <w:spacing w:after="0"/>
              <w:rPr>
                <w:sz w:val="17"/>
                <w:szCs w:val="17"/>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For the Nine</w:t>
            </w:r>
          </w:p>
        </w:tc>
      </w:tr>
      <w:tr>
        <w:trPr>
          <w:trHeight w:val="217"/>
        </w:trPr>
        <w:tc>
          <w:tcPr>
            <w:tcW w:w="4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Months</w:t>
            </w:r>
          </w:p>
        </w:tc>
        <w:tc>
          <w:tcPr>
            <w:tcW w:w="16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Months</w:t>
            </w:r>
          </w:p>
        </w:tc>
      </w:tr>
      <w:tr>
        <w:trPr>
          <w:trHeight w:val="230"/>
        </w:trPr>
        <w:tc>
          <w:tcPr>
            <w:tcW w:w="4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60" w:type="dxa"/>
            <w:vAlign w:val="bottom"/>
          </w:tcPr>
          <w:p>
            <w:pPr>
              <w:spacing w:after="0"/>
              <w:rPr>
                <w:sz w:val="20"/>
                <w:szCs w:val="20"/>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September 30, 2022</w:t>
            </w:r>
          </w:p>
        </w:tc>
      </w:tr>
      <w:tr>
        <w:trPr>
          <w:trHeight w:val="224"/>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revenue - related party</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0"/>
        </w:trPr>
        <w:tc>
          <w:tcPr>
            <w:tcW w:w="4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Total revenue</w:t>
            </w: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596,000</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253,500</w:t>
            </w:r>
          </w:p>
        </w:tc>
        <w:tc>
          <w:tcPr>
            <w:tcW w:w="100" w:type="dxa"/>
            <w:vAlign w:val="bottom"/>
          </w:tcPr>
          <w:p>
            <w:pPr>
              <w:spacing w:after="0"/>
              <w:rPr>
                <w:sz w:val="16"/>
                <w:szCs w:val="16"/>
                <w:color w:val="auto"/>
              </w:rPr>
            </w:pPr>
          </w:p>
        </w:tc>
      </w:tr>
      <w:tr>
        <w:trPr>
          <w:trHeight w:val="204"/>
        </w:trPr>
        <w:tc>
          <w:tcPr>
            <w:tcW w:w="4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3,443,559</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2,583,818</w:t>
            </w:r>
          </w:p>
        </w:tc>
      </w:tr>
      <w:tr>
        <w:trPr>
          <w:trHeight w:val="222"/>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2,188,795</w:t>
            </w:r>
          </w:p>
        </w:tc>
        <w:tc>
          <w:tcPr>
            <w:tcW w:w="16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4,425,195</w:t>
            </w:r>
          </w:p>
        </w:tc>
      </w:tr>
      <w:tr>
        <w:trPr>
          <w:trHeight w:val="210"/>
        </w:trPr>
        <w:tc>
          <w:tcPr>
            <w:tcW w:w="49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5,632,354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7,009,013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4"/>
        </w:trPr>
        <w:tc>
          <w:tcPr>
            <w:tcW w:w="4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(5,036,354)</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(6,755,513)</w:t>
            </w:r>
          </w:p>
        </w:tc>
      </w:tr>
      <w:tr>
        <w:trPr>
          <w:trHeight w:val="204"/>
        </w:trPr>
        <w:tc>
          <w:tcPr>
            <w:tcW w:w="4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1,184</w:t>
            </w:r>
          </w:p>
        </w:tc>
        <w:tc>
          <w:tcPr>
            <w:tcW w:w="16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4,056</w:t>
            </w:r>
          </w:p>
        </w:tc>
      </w:tr>
      <w:tr>
        <w:trPr>
          <w:trHeight w:val="20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(166,729)</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(66,781)</w:t>
            </w:r>
          </w:p>
        </w:tc>
      </w:tr>
      <w:tr>
        <w:trPr>
          <w:trHeight w:val="204"/>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retention credit</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229,813</w:t>
            </w:r>
          </w:p>
        </w:tc>
      </w:tr>
      <w:tr>
        <w:trPr>
          <w:trHeight w:val="20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Forgiveness of accounts payable</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56,285</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(3,630,100</w:t>
            </w:r>
          </w:p>
        </w:tc>
        <w:tc>
          <w:tcPr>
            <w:tcW w:w="16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 (expense)</w:t>
            </w:r>
          </w:p>
        </w:tc>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(54,282)</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(45,365)</w:t>
            </w:r>
          </w:p>
        </w:tc>
      </w:tr>
      <w:tr>
        <w:trPr>
          <w:trHeight w:val="195"/>
        </w:trPr>
        <w:tc>
          <w:tcPr>
            <w:tcW w:w="490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Total other income (expense)</w:t>
            </w:r>
          </w:p>
        </w:tc>
        <w:tc>
          <w:tcPr>
            <w:tcW w:w="20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(3,793,642</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121,723</w:t>
            </w:r>
          </w:p>
        </w:tc>
        <w:tc>
          <w:tcPr>
            <w:tcW w:w="100" w:type="dxa"/>
            <w:vAlign w:val="bottom"/>
            <w:tcBorders>
              <w:top w:val="single" w:sz="8" w:color="CCEEFF"/>
              <w:bottom w:val="single" w:sz="8" w:color="CCEEFF"/>
            </w:tcBorders>
          </w:tcPr>
          <w:p>
            <w:pPr>
              <w:spacing w:after="0"/>
              <w:rPr>
                <w:sz w:val="16"/>
                <w:szCs w:val="16"/>
                <w:color w:val="auto"/>
              </w:rPr>
            </w:pPr>
          </w:p>
        </w:tc>
      </w:tr>
      <w:tr>
        <w:trPr>
          <w:trHeight w:val="204"/>
        </w:trPr>
        <w:tc>
          <w:tcPr>
            <w:tcW w:w="4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(8,829,996)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(6,633,790)</w:t>
            </w:r>
          </w:p>
        </w:tc>
      </w:tr>
      <w:tr>
        <w:trPr>
          <w:trHeight w:val="23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(1,355,347)</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(2,076,737)</w:t>
            </w:r>
          </w:p>
        </w:tc>
      </w:tr>
      <w:tr>
        <w:trPr>
          <w:trHeight w:val="242"/>
        </w:trPr>
        <w:tc>
          <w:tcPr>
            <w:tcW w:w="49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208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(10,185,343</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(8,710,527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2"/>
        </w:trPr>
        <w:tc>
          <w:tcPr>
            <w:tcW w:w="49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(8.25)</w:t>
            </w:r>
          </w:p>
        </w:tc>
      </w:tr>
      <w:tr>
        <w:trPr>
          <w:trHeight w:val="204"/>
        </w:trPr>
        <w:tc>
          <w:tcPr>
            <w:tcW w:w="4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common stock outstanding, basic and diluted</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5,181,107</w:t>
            </w:r>
          </w:p>
        </w:tc>
        <w:tc>
          <w:tcPr>
            <w:tcW w:w="16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1,055,380</w:t>
            </w:r>
          </w:p>
        </w:tc>
      </w:tr>
      <w:tr>
        <w:trPr>
          <w:trHeight w:val="392"/>
        </w:trPr>
        <w:tc>
          <w:tcPr>
            <w:tcW w:w="9240" w:type="dxa"/>
            <w:vAlign w:val="bottom"/>
            <w:gridSpan w:val="5"/>
          </w:tcPr>
          <w:p>
            <w:pPr>
              <w:ind w:left="27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49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1275"/>
              <w:spacing w:after="0"/>
              <w:rPr>
                <w:sz w:val="20"/>
                <w:szCs w:val="20"/>
                <w:color w:val="auto"/>
              </w:rPr>
            </w:pPr>
            <w:r>
              <w:rPr>
                <w:rFonts w:ascii="Times New Roman" w:cs="Times New Roman" w:eastAsia="Times New Roman" w:hAnsi="Times New Roman"/>
                <w:sz w:val="17"/>
                <w:szCs w:val="17"/>
                <w:color w:val="auto"/>
              </w:rPr>
              <w:t>F-25</w:t>
            </w:r>
          </w:p>
        </w:tc>
        <w:tc>
          <w:tcPr>
            <w:tcW w:w="1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144" w:name="page145"/>
    <w:bookmarkEnd w:id="144"/>
    <w:p>
      <w:pPr>
        <w:jc w:val="center"/>
        <w:ind w:right="10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Statements of Convertible Preferred Stock and Stockholders’ Deficit</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6"/>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Series A-1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04"/>
        </w:trPr>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7"/>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9"/>
              </w:rPr>
              <w:t>Series A Convertible</w:t>
            </w:r>
          </w:p>
        </w:tc>
        <w:tc>
          <w:tcPr>
            <w:tcW w:w="1640" w:type="dxa"/>
            <w:vAlign w:val="bottom"/>
            <w:gridSpan w:val="7"/>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Convertible Preferred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Series B Convertible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6"/>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Stockholders’</w:t>
            </w:r>
          </w:p>
        </w:tc>
      </w:tr>
      <w:tr>
        <w:trPr>
          <w:trHeight w:val="243"/>
        </w:trPr>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7"/>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20" w:type="dxa"/>
            <w:vAlign w:val="bottom"/>
          </w:tcPr>
          <w:p>
            <w:pPr>
              <w:spacing w:after="0"/>
              <w:rPr>
                <w:sz w:val="21"/>
                <w:szCs w:val="21"/>
                <w:color w:val="auto"/>
              </w:rPr>
            </w:pPr>
          </w:p>
        </w:tc>
        <w:tc>
          <w:tcPr>
            <w:tcW w:w="1620" w:type="dxa"/>
            <w:vAlign w:val="bottom"/>
            <w:gridSpan w:val="6"/>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5"/>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8"/>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20" w:type="dxa"/>
            <w:vAlign w:val="bottom"/>
          </w:tcPr>
          <w:p>
            <w:pPr>
              <w:spacing w:after="0"/>
              <w:rPr>
                <w:sz w:val="21"/>
                <w:szCs w:val="21"/>
                <w:color w:val="auto"/>
              </w:rPr>
            </w:pPr>
          </w:p>
        </w:tc>
        <w:tc>
          <w:tcPr>
            <w:tcW w:w="1180" w:type="dxa"/>
            <w:vAlign w:val="bottom"/>
            <w:gridSpan w:val="5"/>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22"/>
        </w:trPr>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(Deficit)</w:t>
            </w:r>
          </w:p>
        </w:tc>
      </w:tr>
      <w:tr>
        <w:trPr>
          <w:trHeight w:val="171"/>
        </w:trPr>
        <w:tc>
          <w:tcPr>
            <w:tcW w:w="12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 –</w:t>
            </w: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3,272,944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8"/>
              </w:rPr>
              <w:t>$16,321,065</w:t>
            </w:r>
          </w:p>
        </w:tc>
        <w:tc>
          <w:tcPr>
            <w:tcW w:w="9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1,043,100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868,163</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(26,634,186)</w:t>
            </w:r>
          </w:p>
        </w:tc>
        <w:tc>
          <w:tcPr>
            <w:tcW w:w="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(25,765,919)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56,983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56,983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Exercise of</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(2,326,017)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(2,326,017)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1"/>
        </w:trPr>
        <w:tc>
          <w:tcPr>
            <w:tcW w:w="12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w:t>
            </w: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5"/>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205,385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3,272,944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14,100,533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391,303</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16,321,065</w:t>
            </w:r>
          </w:p>
        </w:tc>
        <w:tc>
          <w:tcPr>
            <w:tcW w:w="9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1,043,988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926,656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(28,960,203)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(28,033,443)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53,826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53,826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(1,890,153)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(1,890,153)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57"/>
        </w:trPr>
        <w:tc>
          <w:tcPr>
            <w:tcW w:w="1200" w:type="dxa"/>
            <w:vAlign w:val="bottom"/>
            <w:tcBorders>
              <w:top w:val="single" w:sz="8" w:color="CCEEFF"/>
            </w:tcBorders>
            <w:gridSpan w:val="2"/>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June</w:t>
            </w: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5"/>
        </w:trPr>
        <w:tc>
          <w:tcPr>
            <w:tcW w:w="1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30, 2022</w:t>
            </w: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205,385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3,272,944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14,100,533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391,303</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16,321,065</w:t>
            </w:r>
          </w:p>
        </w:tc>
        <w:tc>
          <w:tcPr>
            <w:tcW w:w="900" w:type="dxa"/>
            <w:vAlign w:val="bottom"/>
            <w:gridSpan w:val="6"/>
          </w:tcPr>
          <w:p>
            <w:pPr>
              <w:jc w:val="right"/>
              <w:ind w:right="100"/>
              <w:spacing w:after="0"/>
              <w:rPr>
                <w:sz w:val="20"/>
                <w:szCs w:val="20"/>
                <w:color w:val="auto"/>
              </w:rPr>
            </w:pPr>
            <w:r>
              <w:rPr>
                <w:rFonts w:ascii="Times New Roman" w:cs="Times New Roman" w:eastAsia="Times New Roman" w:hAnsi="Times New Roman"/>
                <w:sz w:val="17"/>
                <w:szCs w:val="17"/>
                <w:color w:val="auto"/>
              </w:rPr>
              <w:t>1,043,988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980,482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(30,850,356)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(29,869,770)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44,329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44,329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(2,417,620)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(2,417,620)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1"/>
        </w:trPr>
        <w:tc>
          <w:tcPr>
            <w:tcW w:w="12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 –</w:t>
            </w: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3,272,944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8"/>
              </w:rPr>
              <w:t>$16,321,065</w:t>
            </w:r>
          </w:p>
        </w:tc>
        <w:tc>
          <w:tcPr>
            <w:tcW w:w="9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1,043,988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9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6"/>
              </w:rPr>
              <w:t>$ 1,024,811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(33,267,976)</w:t>
            </w:r>
          </w:p>
        </w:tc>
        <w:tc>
          <w:tcPr>
            <w:tcW w:w="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(32,243,061)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4"/>
        </w:trPr>
        <w:tc>
          <w:tcPr>
            <w:tcW w:w="120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Balance –</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4"/>
        </w:trPr>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12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3,272,944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8"/>
              </w:rPr>
              <w:t>$16,321,065</w:t>
            </w:r>
          </w:p>
        </w:tc>
        <w:tc>
          <w:tcPr>
            <w:tcW w:w="900" w:type="dxa"/>
            <w:vAlign w:val="bottom"/>
            <w:gridSpan w:val="6"/>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1,043,988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$ 1,054,138</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(37,314,552)</w:t>
            </w: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(36,260,310)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Issuance of</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B</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Stock</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23,432</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1,124,759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1,124,759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8"/>
        </w:trPr>
        <w:tc>
          <w:tcPr>
            <w:tcW w:w="120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38,794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38,794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(2,457,179)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(2,457,179)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4"/>
        </w:trPr>
        <w:tc>
          <w:tcPr>
            <w:tcW w:w="12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Balance,</w:t>
            </w: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5"/>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March 31, 2023</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205,385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3,272,944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14,100,533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414,735</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17,445,824</w:t>
            </w:r>
          </w:p>
        </w:tc>
        <w:tc>
          <w:tcPr>
            <w:tcW w:w="9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1,043,988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1,092,932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(39,771,731)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(38,678,695)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Conversion of</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convertible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100"/>
              <w:spacing w:after="0"/>
              <w:rPr>
                <w:sz w:val="20"/>
                <w:szCs w:val="20"/>
                <w:color w:val="auto"/>
              </w:rPr>
            </w:pPr>
            <w:r>
              <w:rPr>
                <w:rFonts w:ascii="Times New Roman" w:cs="Times New Roman" w:eastAsia="Times New Roman" w:hAnsi="Times New Roman"/>
                <w:sz w:val="17"/>
                <w:szCs w:val="17"/>
                <w:color w:val="auto"/>
              </w:rPr>
              <w:t>1,846,020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9,494,887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9,495,072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87"/>
        </w:trPr>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4"/>
        </w:trPr>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7"/>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Series A Convertible</w:t>
            </w:r>
          </w:p>
        </w:tc>
        <w:tc>
          <w:tcPr>
            <w:tcW w:w="20" w:type="dxa"/>
            <w:vAlign w:val="bottom"/>
          </w:tcPr>
          <w:p>
            <w:pPr>
              <w:spacing w:after="0"/>
              <w:rPr>
                <w:sz w:val="17"/>
                <w:szCs w:val="17"/>
                <w:color w:val="auto"/>
              </w:rPr>
            </w:pPr>
          </w:p>
        </w:tc>
        <w:tc>
          <w:tcPr>
            <w:tcW w:w="1760" w:type="dxa"/>
            <w:vAlign w:val="bottom"/>
            <w:gridSpan w:val="9"/>
          </w:tcPr>
          <w:p>
            <w:pPr>
              <w:ind w:left="20"/>
              <w:spacing w:after="0"/>
              <w:rPr>
                <w:sz w:val="20"/>
                <w:szCs w:val="20"/>
                <w:color w:val="auto"/>
              </w:rPr>
            </w:pPr>
            <w:r>
              <w:rPr>
                <w:rFonts w:ascii="Times New Roman" w:cs="Times New Roman" w:eastAsia="Times New Roman" w:hAnsi="Times New Roman"/>
                <w:sz w:val="17"/>
                <w:szCs w:val="17"/>
                <w:b w:val="1"/>
                <w:bCs w:val="1"/>
                <w:color w:val="auto"/>
              </w:rPr>
              <w:t>Series A-1 Convertible</w:t>
            </w:r>
          </w:p>
        </w:tc>
        <w:tc>
          <w:tcPr>
            <w:tcW w:w="60" w:type="dxa"/>
            <w:vAlign w:val="bottom"/>
          </w:tcPr>
          <w:p>
            <w:pPr>
              <w:spacing w:after="0"/>
              <w:rPr>
                <w:sz w:val="17"/>
                <w:szCs w:val="17"/>
                <w:color w:val="auto"/>
              </w:rPr>
            </w:pPr>
          </w:p>
        </w:tc>
        <w:tc>
          <w:tcPr>
            <w:tcW w:w="16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Series B Convertible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7"/>
              </w:rPr>
              <w:t>Stockholders’</w:t>
            </w:r>
          </w:p>
        </w:tc>
      </w:tr>
      <w:tr>
        <w:trPr>
          <w:trHeight w:val="243"/>
        </w:trPr>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7"/>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20" w:type="dxa"/>
            <w:vAlign w:val="bottom"/>
          </w:tcPr>
          <w:p>
            <w:pPr>
              <w:spacing w:after="0"/>
              <w:rPr>
                <w:sz w:val="21"/>
                <w:szCs w:val="21"/>
                <w:color w:val="auto"/>
              </w:rPr>
            </w:pPr>
          </w:p>
        </w:tc>
        <w:tc>
          <w:tcPr>
            <w:tcW w:w="1620" w:type="dxa"/>
            <w:vAlign w:val="bottom"/>
            <w:gridSpan w:val="6"/>
          </w:tcPr>
          <w:p>
            <w:pPr>
              <w:ind w:left="28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5"/>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8"/>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5"/>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222"/>
        </w:trPr>
        <w:tc>
          <w:tcPr>
            <w:tcW w:w="1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w w:val="94"/>
              </w:rPr>
              <w:t>Amount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6"/>
              </w:rPr>
              <w:t>Capital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(Deficit)</w:t>
            </w:r>
          </w:p>
        </w:tc>
      </w:tr>
      <w:tr>
        <w:trPr>
          <w:trHeight w:val="175"/>
        </w:trPr>
        <w:tc>
          <w:tcPr>
            <w:tcW w:w="1180" w:type="dxa"/>
            <w:vAlign w:val="bottom"/>
            <w:tcBorders>
              <w:top w:val="single" w:sz="8" w:color="CCEEFF"/>
            </w:tcBorders>
            <w:shd w:val="clear" w:color="auto" w:fill="CCEEFF"/>
          </w:tcPr>
          <w:p>
            <w:pPr>
              <w:ind w:left="180"/>
              <w:spacing w:after="0" w:line="175" w:lineRule="exact"/>
              <w:rPr>
                <w:sz w:val="20"/>
                <w:szCs w:val="20"/>
                <w:color w:val="auto"/>
              </w:rPr>
            </w:pPr>
            <w:r>
              <w:rPr>
                <w:rFonts w:ascii="Times New Roman" w:cs="Times New Roman" w:eastAsia="Times New Roman" w:hAnsi="Times New Roman"/>
                <w:sz w:val="17"/>
                <w:szCs w:val="17"/>
                <w:color w:val="auto"/>
              </w:rPr>
              <w:t>Conversion</w:t>
            </w:r>
          </w:p>
        </w:tc>
        <w:tc>
          <w:tcPr>
            <w:tcW w:w="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4"/>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 preferred</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(205,385)</w:t>
            </w: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8"/>
              </w:rPr>
              <w:t>(3,272,944)</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10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(14,100,533)</w:t>
            </w:r>
          </w:p>
        </w:tc>
        <w:tc>
          <w:tcPr>
            <w:tcW w:w="182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(414,735)  (17,445,824)</w:t>
            </w:r>
          </w:p>
        </w:tc>
        <w:tc>
          <w:tcPr>
            <w:tcW w:w="9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7,707,635</w:t>
            </w:r>
          </w:p>
        </w:tc>
        <w:tc>
          <w:tcPr>
            <w:tcW w:w="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771</w:t>
            </w:r>
          </w:p>
        </w:tc>
        <w:tc>
          <w:tcPr>
            <w:tcW w:w="9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34,818,530</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34,819,301</w:t>
            </w:r>
          </w:p>
        </w:tc>
        <w:tc>
          <w:tcPr>
            <w:tcW w:w="60" w:type="dxa"/>
            <w:vAlign w:val="bottom"/>
            <w:shd w:val="clear" w:color="auto" w:fill="CCEEFF"/>
          </w:tcPr>
          <w:p>
            <w:pPr>
              <w:spacing w:after="0"/>
              <w:rPr>
                <w:sz w:val="19"/>
                <w:szCs w:val="19"/>
                <w:color w:val="auto"/>
              </w:rPr>
            </w:pPr>
          </w:p>
        </w:tc>
      </w:tr>
      <w:tr>
        <w:trPr>
          <w:trHeight w:val="188"/>
        </w:trPr>
        <w:tc>
          <w:tcPr>
            <w:tcW w:w="120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7"/>
                <w:szCs w:val="17"/>
                <w:color w:val="auto"/>
              </w:rPr>
              <w:t>Initial public</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offering, net</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 issuance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costs of</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1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$1,508,791</w:t>
            </w:r>
          </w:p>
        </w:tc>
        <w:tc>
          <w:tcPr>
            <w:tcW w:w="2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1,500,000</w:t>
            </w: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150</w:t>
            </w:r>
          </w:p>
        </w:tc>
        <w:tc>
          <w:tcPr>
            <w:tcW w:w="98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5,991,209</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5,991,359</w:t>
            </w:r>
          </w:p>
        </w:tc>
        <w:tc>
          <w:tcPr>
            <w:tcW w:w="60" w:type="dxa"/>
            <w:vAlign w:val="bottom"/>
          </w:tcPr>
          <w:p>
            <w:pPr>
              <w:spacing w:after="0"/>
              <w:rPr>
                <w:sz w:val="19"/>
                <w:szCs w:val="19"/>
                <w:color w:val="auto"/>
              </w:rPr>
            </w:pPr>
          </w:p>
        </w:tc>
      </w:tr>
      <w:tr>
        <w:trPr>
          <w:trHeight w:val="188"/>
        </w:trPr>
        <w:tc>
          <w:tcPr>
            <w:tcW w:w="120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38,794</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38,794</w:t>
            </w:r>
          </w:p>
        </w:tc>
      </w:tr>
      <w:tr>
        <w:trPr>
          <w:trHeight w:val="222"/>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(4,429,528)</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(4,429,528)</w:t>
            </w:r>
          </w:p>
        </w:tc>
      </w:tr>
      <w:tr>
        <w:trPr>
          <w:trHeight w:val="171"/>
        </w:trPr>
        <w:tc>
          <w:tcPr>
            <w:tcW w:w="11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 June</w:t>
            </w:r>
          </w:p>
        </w:tc>
        <w:tc>
          <w:tcPr>
            <w:tcW w:w="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25"/>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30, 2023</w:t>
            </w:r>
          </w:p>
        </w:tc>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12,097,643</w:t>
            </w:r>
          </w:p>
        </w:tc>
        <w:tc>
          <w:tcPr>
            <w:tcW w:w="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1,210</w:t>
            </w:r>
          </w:p>
        </w:tc>
        <w:tc>
          <w:tcPr>
            <w:tcW w:w="9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51,436,352</w:t>
            </w:r>
          </w:p>
        </w:tc>
        <w:tc>
          <w:tcPr>
            <w:tcW w:w="12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(44,201,259)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7,236,303</w:t>
            </w:r>
          </w:p>
        </w:tc>
        <w:tc>
          <w:tcPr>
            <w:tcW w:w="60" w:type="dxa"/>
            <w:vAlign w:val="bottom"/>
            <w:shd w:val="clear" w:color="auto" w:fill="CCEEFF"/>
          </w:tcPr>
          <w:p>
            <w:pPr>
              <w:spacing w:after="0"/>
              <w:rPr>
                <w:sz w:val="19"/>
                <w:szCs w:val="19"/>
                <w:color w:val="auto"/>
              </w:rPr>
            </w:pPr>
          </w:p>
        </w:tc>
      </w:tr>
      <w:tr>
        <w:trPr>
          <w:trHeight w:val="188"/>
        </w:trPr>
        <w:tc>
          <w:tcPr>
            <w:tcW w:w="120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 based</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expense</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39,073</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39,073</w:t>
            </w:r>
          </w:p>
        </w:tc>
      </w:tr>
      <w:tr>
        <w:trPr>
          <w:trHeight w:val="237"/>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(1,943,289</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(1,943,289)</w:t>
            </w:r>
          </w:p>
        </w:tc>
      </w:tr>
      <w:tr>
        <w:trPr>
          <w:trHeight w:val="157"/>
        </w:trPr>
        <w:tc>
          <w:tcPr>
            <w:tcW w:w="1180" w:type="dxa"/>
            <w:vAlign w:val="bottom"/>
            <w:tcBorders>
              <w:top w:val="single" w:sz="8" w:color="CCEEFF"/>
            </w:tcBorders>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w:t>
            </w:r>
          </w:p>
        </w:tc>
        <w:tc>
          <w:tcPr>
            <w:tcW w:w="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r>
      <w:tr>
        <w:trPr>
          <w:trHeight w:val="204"/>
        </w:trPr>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880" w:type="dxa"/>
            <w:vAlign w:val="bottom"/>
            <w:gridSpan w:val="2"/>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57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12,097,643</w:t>
            </w: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  1,210</w:t>
            </w:r>
          </w:p>
        </w:tc>
        <w:tc>
          <w:tcPr>
            <w:tcW w:w="98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51,475,425</w:t>
            </w:r>
          </w:p>
        </w:tc>
        <w:tc>
          <w:tcPr>
            <w:tcW w:w="224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auto"/>
              </w:rPr>
              <w:t>$  (46,144,548) $   5,332,087</w:t>
            </w:r>
          </w:p>
        </w:tc>
        <w:tc>
          <w:tcPr>
            <w:tcW w:w="6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financial statements.</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340"/>
          </w:cols>
          <w:pgMar w:left="320" w:top="659" w:right="239" w:bottom="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0" w:type="dxa"/>
            <w:vAlign w:val="bottom"/>
            <w:gridSpan w:val="4"/>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6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198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(8,829,996)</w:t>
            </w:r>
          </w:p>
        </w:tc>
        <w:tc>
          <w:tcPr>
            <w:tcW w:w="114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(6,633,790)</w:t>
            </w: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97,390</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93,515</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5,895</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219,658</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212,470</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interest on convertible notes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165,939</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60,877</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based compensation</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116,661</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155,138</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(9,350)</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3,630,100</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Forgiveness of accounts payable</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(56,285)</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41,417</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7,923</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Impairment of intangible assets and patent costs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351,360</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182,820</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75,172</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Prepaid expenses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(249,037)</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45,636</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(39,847)</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credits receivable</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29,141</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48,871</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(143,662)</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Financing lease liability</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44,206</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(213,285)</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(202,853)</w:t>
            </w:r>
          </w:p>
        </w:tc>
      </w:tr>
      <w:tr>
        <w:trPr>
          <w:trHeight w:val="237"/>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Contract liabilities</w:t>
            </w: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(156,000)</w:t>
            </w:r>
          </w:p>
        </w:tc>
        <w:tc>
          <w:tcPr>
            <w:tcW w:w="1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r>
      <w:tr>
        <w:trPr>
          <w:trHeight w:val="195"/>
        </w:trPr>
        <w:tc>
          <w:tcPr>
            <w:tcW w:w="616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820" w:type="dxa"/>
            <w:vAlign w:val="bottom"/>
            <w:tcBorders>
              <w:top w:val="single" w:sz="8" w:color="CCEEFF"/>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(4,778,962</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(6,176,777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(22,882)</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(23,198)</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4,250</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Capitalization of deferred patent costs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(208,723)</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(117,244)</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Capitalization of licenses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(13,096)</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(57,372)</w:t>
            </w:r>
          </w:p>
        </w:tc>
      </w:tr>
      <w:tr>
        <w:trPr>
          <w:trHeight w:val="237"/>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Capitalization of patent and trademark costs</w:t>
            </w: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(13,573)</w:t>
            </w:r>
          </w:p>
        </w:tc>
        <w:tc>
          <w:tcPr>
            <w:tcW w:w="1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(46,406)</w:t>
            </w:r>
          </w:p>
        </w:tc>
      </w:tr>
      <w:tr>
        <w:trPr>
          <w:trHeight w:val="195"/>
        </w:trPr>
        <w:tc>
          <w:tcPr>
            <w:tcW w:w="616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820" w:type="dxa"/>
            <w:vAlign w:val="bottom"/>
            <w:tcBorders>
              <w:top w:val="single" w:sz="8" w:color="CCEEFF"/>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(258,274</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(239,970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convertible notes, net of issuance costs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4,350,000</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(40,703)</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Principal payments on finance leases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(46,452)</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initial public offering, net</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5,991,359</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1,510</w:t>
            </w:r>
          </w:p>
        </w:tc>
      </w:tr>
      <w:tr>
        <w:trPr>
          <w:trHeight w:val="195"/>
        </w:trPr>
        <w:tc>
          <w:tcPr>
            <w:tcW w:w="616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820" w:type="dxa"/>
            <w:vAlign w:val="bottom"/>
            <w:tcBorders>
              <w:top w:val="single" w:sz="8" w:color="CCEEFF"/>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5,944,907</w:t>
            </w:r>
          </w:p>
        </w:tc>
        <w:tc>
          <w:tcPr>
            <w:tcW w:w="34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4,310,807</w:t>
            </w:r>
          </w:p>
        </w:tc>
        <w:tc>
          <w:tcPr>
            <w:tcW w:w="100" w:type="dxa"/>
            <w:vAlign w:val="bottom"/>
            <w:tcBorders>
              <w:top w:val="single" w:sz="8" w:color="CCEEFF"/>
              <w:bottom w:val="single" w:sz="8" w:color="CCEEFF"/>
            </w:tcBorders>
          </w:tcPr>
          <w:p>
            <w:pPr>
              <w:spacing w:after="0"/>
              <w:rPr>
                <w:sz w:val="16"/>
                <w:szCs w:val="16"/>
                <w:color w:val="auto"/>
              </w:rPr>
            </w:pPr>
          </w:p>
        </w:tc>
      </w:tr>
      <w:tr>
        <w:trPr>
          <w:trHeight w:val="204"/>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907,671</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(2,105,940)</w:t>
            </w:r>
          </w:p>
        </w:tc>
      </w:tr>
      <w:tr>
        <w:trPr>
          <w:trHeight w:val="204"/>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3,492,656</w:t>
            </w:r>
          </w:p>
        </w:tc>
        <w:tc>
          <w:tcPr>
            <w:tcW w:w="1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8,044,262</w:t>
            </w:r>
          </w:p>
        </w:tc>
      </w:tr>
      <w:tr>
        <w:trPr>
          <w:trHeight w:val="217"/>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4,400,327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5,938,322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information:</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Obtaining a right-of-use asset in exchange for lease liability</w:t>
            </w:r>
          </w:p>
        </w:tc>
        <w:tc>
          <w:tcPr>
            <w:tcW w:w="19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1,418,502</w:t>
            </w: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Obtaining a right-of-use asset in exchange for financing lease liability</w:t>
            </w:r>
          </w:p>
        </w:tc>
        <w:tc>
          <w:tcPr>
            <w:tcW w:w="198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46,452</w:t>
            </w:r>
          </w:p>
        </w:tc>
        <w:tc>
          <w:tcPr>
            <w:tcW w:w="114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note to common stock</w:t>
            </w:r>
          </w:p>
        </w:tc>
        <w:tc>
          <w:tcPr>
            <w:tcW w:w="19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9,495,152</w:t>
            </w:r>
          </w:p>
        </w:tc>
        <w:tc>
          <w:tcPr>
            <w:tcW w:w="114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note to Series B Convertible Preferred Stock</w:t>
            </w:r>
          </w:p>
        </w:tc>
        <w:tc>
          <w:tcPr>
            <w:tcW w:w="198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1,124,759</w:t>
            </w:r>
          </w:p>
        </w:tc>
        <w:tc>
          <w:tcPr>
            <w:tcW w:w="114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6" w:name="page147"/>
    <w:bookmarkEnd w:id="146"/>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1.Organization and Nature of Operations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Azitra, Inc. was founded on January 2, 2014. It is a synthetic biology company focused on screening and genetically engineering microbes of the skin. The mission is to discover and develop novel therapeutics to create a new paradigm for treating skin disease. The Company’s discovery platform is screened for naturally occurring bacterial cells with beneficial effects. These microbes are then genomically sequenced and engineered to make cellular therapies, recombinant therapeutic proteins, peptides and small molecules for precision treatment of dermatology diseases. On May 17, 2023, the Company changed its name from “Azitra Inc” to “Azitra, Inc.”</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maintains a location in Montreal, Canada for certain research activities. This location and operations completed there remained consistent throughout 2022 and into 2023. The Company also opened a manufacturing and laboratory space in Groton, Connecticut during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Stock Split, Change in Par Value, and Initial Public Offering</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June 2023, the Company completed its initial public offering (IPO) in which it issued and sold 1,500,000 shares of its common stock at a price to the public of $5.00 per share. The shares began trading on the NYSE American on June 16, 2023 under the symbol “AZTR”. The net proceeds received by the Company from the offering were $6.0 million, after deducting underwriting discounts, commissions and other offering expenses.</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Immediately prior to the effectiveness of the Company’s registration statement, the Company effected a 7.1-for-1 forward stock split of its issued and outstanding shares of common stock (the Forward Stock Split). On May 17, 2023, the Company changed the par value of its capital stock from $0.01 to $0.0001. Accordingly, all share and per share amounts for all periods presented in the accompanying unaudited consolidated financial statements and notes thereto have been adjusted retroactively, where applicable, to reflect the effect of the Forward Stock Split. Refer to Note 8 for additional details relating to the Forward Stock Split.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Matters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unaudited condensed financial statements have been prepared on the going concern basis, which assumes that the Company will continue in operation for the foreseeable future and which contemplates the realization of assets and liquidation of liabilities in the normal course of business. However, management has identified the following conditions and events that created an uncertainty about the ability of the Company to continue as a going concern. As of and for the nine months ended September 30, 2023, the Company has an accumulated deficit of $46.1 million, a loss from operations of $5.0 million and used $4.8 million to fund operations. These factors among others raise substantial doubt about the Company’s ability to continue as a going concern.</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Management plans to continue to raise funds through equity and debt financing to fund operating and working capital needs; however, the Company will require a significant amount of additional funds to complete the development of its product and to fund additional losses which the Company expects to incur over the next few years. The Company is still in its clinical phase and therefore does not yet have product revenue. There can be no assurance that the Company will be successful in securing additional financing, if needed, to meet its operating needs.</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These conditions and events create an uncertainty about the ability of the Company to continue as a going concern for twelve months from the date that the financial statements are available to be issued. The financial statements do not include any adjustments that might be necessary should the Company be unable to continue as a going concern.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prior period amounts and disclosures have been reclassified to conform to the current period’s financial presentation.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47" w:name="page148"/>
    <w:bookmarkEnd w:id="147"/>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ind w:right="7880" w:firstLine="2"/>
        <w:spacing w:after="0" w:line="503" w:lineRule="auto"/>
        <w:tabs>
          <w:tab w:leader="none" w:pos="17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Accounting</w:t>
      </w:r>
    </w:p>
    <w:p>
      <w:pPr>
        <w:spacing w:after="0" w:line="1"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financial statements of the Company are prepared in accordance with United States generally accepted accounting principles (“U.S. GAAP”).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Interim Financial Information</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unaudited interim financial statements and related notes have been prepared in accordance with U.S. GAAP for interim financial information, within the rules and regulations of the United States Securities and Exchange Commission (the “SEC”). Certain information and disclosures normally included in the annual financial statements prepared in accordance with U.S. GAAP have been condensed or omitted pursuant to such rules and regulations. The unaudited interim financial statements have been prepared on a basis consistent with the audited financial statements and in the opinion of management, reflect all adjustments, consisting of only normal recurring adjustments, necessary for the fair presentation of the results for the interim periods presented and of the financial condition as of the date of the interim balance sheet. The financial data and the other information disclosed in these notes to the interim financial statements related to the three and nine months are unaudited. Unaudited interim results are not necessarily indicative of the results for the full fiscal year. These unaudited interim financial statements should be read in conjunction with the financial statements of the Company for the year ended December 31, 2022, and notes thereto that are included in the Company’s Registration Statement filed with the SEC on June 5,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preparation of the financial statement in conformity with accounting principles generally accepted in the United States of America requires management to make estimates and assumptions that affect the reported amounts of assets and liabilities at the date of the balance sheet. While management believes the estimates and assumptions used in the preparation of the financial statement are appropriate, actual results could differ from those estimates.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purposes of the balance sheets and statements of cash flows, the Company considers all cash on hand, demand deposits and all highly liquid investments with original maturities of three months or less to be cash equivalents.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Property and equipment are recorded at cost. Depreciation is computed using the straight-line method over the estimated useful lives, which range from 3 to 10 years. Expenditures for maintenance and repairs, which do not extend the economic useful life of the related assets, are charged to operations as incurred. Gains or losses on disposal of property and equipment are reflected in the statements of operations in the period of disposal.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conditions. There was no allowance for doubtful accounts at September 30, 2023 and December 31, 2022. Accounts receivable are written off when deemed uncollectible. Recoveries of accounts receivable previously written off are recorded when received.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8" w:name="page149"/>
    <w:bookmarkEnd w:id="148"/>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Offering Costs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capitalized deferred offering costs, which primarily consisted of direct, incremental legal, professional, accounting, and other third-party fees relating to the Company’s initial public offering. In June 2023, the Company consummated its IPO and recorded such amounts against the gross proceeds of its IPO within the statements of stockholders’ equity during the nine months ended September 30,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2016, the Financial Accounting Standards Board (“FASB”) issued ASU No. 2016-02, Leases (“Topic 842”). ASU 2016-02 requires lessees to present right-of-use (“ROU”) assets and lease liabilities on the balance sheet for all leases with terms longer than 12 months. See Note 2 - Recently Adopted Accounting Pronouncements.</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calculating the effect of ASU 2016-02, the Company elected the transition method thereby not restating comparable periods. The Company elected to account for non-lease components as part of the lease component to which they relate. Lease accounting involves significant judgments, including making estimates related to the lease term, lease payments, and discount rate. In accordance with the guidance, the Company recognized ROU assets and lease liabilities for all leases with a term greater than 12 months. Leases are classified as either operating or financing leases based on the economic substance of the agreement.</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has operating leases for buildings. Currently, the Company has 3 operating leases with a ROU asset and lease liability totaling $1,418,502 as of January 1, 2022. The basis, terms and conditions of the leases are determined by the individual agreements. The Company’s option to extend certain leases ranges from 36 - 52 months. All options to extend have been included in the calculation of the ROU asset and lease liability. The leases do not contain residual value guarantees, restrictions, or covenants that could incur additional financial obligations to the Company. There are no subleases, sale-leaseback, or related party transactions.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September 30, 2023, the Company had operating right-of-use assets with a net value of $899,619 and current and long-term operating lease liabilities of $301,423 and $613,572, respectively.</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2023, the Company entered into a lease for the use of certain equipment that is classified as a finance lease. The finance lease has a term of 36 months. At September 30, 2023, the Company had financing right-of-use assets with a net value of $43,872 and current and long-term operating lease liabilities of $14,254 and $29,952,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Intangible assets consist of trademarks and patents. All costs directly related to the filing and prosecution of patent and trademark applications are capitalized. Patents are amortized over their respective remaining useful lives upon formal approval. Trademarks have an indefinite life.</w:t>
      </w:r>
    </w:p>
    <w:p>
      <w:pPr>
        <w:spacing w:after="0" w:line="149"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The Company accounts for other indefinite life intangible assets in accordance ASC Topic 350, </w:t>
      </w:r>
      <w:r>
        <w:rPr>
          <w:rFonts w:ascii="Times New Roman" w:cs="Times New Roman" w:eastAsia="Times New Roman" w:hAnsi="Times New Roman"/>
          <w:sz w:val="17"/>
          <w:szCs w:val="17"/>
          <w:i w:val="1"/>
          <w:iCs w:val="1"/>
          <w:color w:val="auto"/>
        </w:rPr>
        <w:t>Goodwill and Other Intangible Assets</w:t>
      </w:r>
      <w:r>
        <w:rPr>
          <w:rFonts w:ascii="Times New Roman" w:cs="Times New Roman" w:eastAsia="Times New Roman" w:hAnsi="Times New Roman"/>
          <w:sz w:val="17"/>
          <w:szCs w:val="17"/>
          <w:color w:val="auto"/>
        </w:rPr>
        <w:t xml:space="preserve"> (ASC 350). ASC 350 requires that intangible assets that have indefinite lives are required to be tested at least annually for impairment or whenever events or changes in circumstances indicate that the carrying amount may not be recoverable. Intangible assets that have finite lives will continue to be amortized over their useful lives. Impairment losses relating to license agreements were $78,606 during the nine months ended September 30, 2023 and $0 during the nine months ended September 30,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Patent Costs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Deferred patent costs represent legal and filing expenses incurred related to the submission of patent applications for patents pending approval. These deferred costs will begin to be amortized over their estimated useful lives upon the formal approval of the patent. If the patent is not issued, the costs associated with the patent will be expensed in the year the patent was rejected. Impairment losses relating to deferred patent costs were $272,754 during the nine months ended September 30, 2023 and $0 in the nine months ended September 30, 2022.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9" w:name="page150"/>
    <w:bookmarkEnd w:id="149"/>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accordance with ASC Topic 360-10, Accounting for the Impairment or Disposal of Long-Lived Assets (ASC 360-10), the Company’s policy is to review its long-lived assets for impairment whenever events or changes in circumstances indicate that the carrying amount of an asset may not be recoverable. In connection with this review, the Company also reevaluates the periods of depreciation for these assets. The Company recognizes an impairment loss when the sum of the undiscounted expected future cash flows from the use and eventual disposition of the asset is less than its carrying amount. If an asset is considered to be impaired, the impairment to be recognized is measured by the amount by which the carrying amount of the asset exceeds the fair value of the asset, which is determined using the present value of the net future operating cash flows generated by the asset.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Debt and Warrant Accounting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For issued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under Other Income/loss.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debt</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When the Company issues debt with a conversion feature, it first assesses whether the debt should be accounted for in accordance with ASC 480 - Distinguishing Liabilities from Equity. If the debt does not meet the criteria of an ASC 480 liability, the note’s conversion features require bifurcation in accordance with ASC 815 - Derivatives and Hedging. If the Company determines the embedded conversion feature requires bifurcation in accordance with ASC 815, the Company also considers if it can elect the fair value option. If the fair value option is elected, the Company records the note at its initial fair value with any subsequent changes in fair value recorded in earnings. As noted in Note 7, the Company has elected the fair value option for the 2022 Convertible Notes and will record the notes at their initial fair values with any subsequent changes in fair value recorded in earnings. The Convertible Notes were converted into the Company’s common stock on the Closing Date of the Company’s IPO.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Preferred Stock</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the Convertible Preferred stockholders have liquidation rights in the event of a deemed liquidation event that, in certain situations, are not solely within the control of the Company and would require the redemption of the then-outstanding Convertible Preferred Stock, the Company classifies the Convertible Preferred Stock in mezzanine equity on the balance sheet.</w:t>
      </w:r>
    </w:p>
    <w:p>
      <w:pPr>
        <w:spacing w:after="0" w:line="1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As noted in Note 8, at the Closing Date of the Company’s IPO, the Convertible Preferred stock converted into shares of the Company’s common stock.</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0" w:name="page151"/>
    <w:bookmarkEnd w:id="150"/>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13" w:lineRule="exact"/>
        <w:rPr>
          <w:sz w:val="20"/>
          <w:szCs w:val="20"/>
          <w:color w:val="auto"/>
        </w:rPr>
      </w:pPr>
    </w:p>
    <w:p>
      <w:pPr>
        <w:ind w:firstLine="613"/>
        <w:spacing w:after="0" w:line="287" w:lineRule="auto"/>
        <w:rPr>
          <w:sz w:val="20"/>
          <w:szCs w:val="20"/>
          <w:color w:val="auto"/>
        </w:rPr>
      </w:pPr>
      <w:r>
        <w:rPr>
          <w:rFonts w:ascii="Times New Roman" w:cs="Times New Roman" w:eastAsia="Times New Roman" w:hAnsi="Times New Roman"/>
          <w:sz w:val="17"/>
          <w:szCs w:val="17"/>
          <w:color w:val="auto"/>
        </w:rPr>
        <w:t xml:space="preserve">The Company follows the </w:t>
      </w:r>
      <w:r>
        <w:rPr>
          <w:rFonts w:ascii="Times New Roman" w:cs="Times New Roman" w:eastAsia="Times New Roman" w:hAnsi="Times New Roman"/>
          <w:sz w:val="17"/>
          <w:szCs w:val="17"/>
          <w:i w:val="1"/>
          <w:iCs w:val="1"/>
          <w:color w:val="auto"/>
        </w:rPr>
        <w:t>five</w:t>
      </w:r>
      <w:r>
        <w:rPr>
          <w:rFonts w:ascii="Times New Roman" w:cs="Times New Roman" w:eastAsia="Times New Roman" w:hAnsi="Times New Roman"/>
          <w:sz w:val="17"/>
          <w:szCs w:val="17"/>
          <w:color w:val="auto"/>
        </w:rPr>
        <w:t xml:space="preserve"> steps to recognize revenue from contracts with customers under ASC 606, Revenue from Contracts with Customers (“ASC 606”), which are:</w:t>
      </w:r>
    </w:p>
    <w:p>
      <w:pPr>
        <w:spacing w:after="0" w:line="145" w:lineRule="exact"/>
        <w:rPr>
          <w:sz w:val="20"/>
          <w:szCs w:val="20"/>
          <w:color w:val="auto"/>
        </w:rPr>
      </w:pPr>
    </w:p>
    <w:p>
      <w:pPr>
        <w:ind w:left="1220" w:hanging="605"/>
        <w:spacing w:after="0"/>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1</w:t>
      </w:r>
      <w:r>
        <w:rPr>
          <w:rFonts w:ascii="Times New Roman" w:cs="Times New Roman" w:eastAsia="Times New Roman" w:hAnsi="Times New Roman"/>
          <w:sz w:val="17"/>
          <w:szCs w:val="17"/>
          <w:color w:val="auto"/>
        </w:rPr>
        <w:t>: Identify the contract(s) with a customer</w:t>
      </w:r>
    </w:p>
    <w:p>
      <w:pPr>
        <w:spacing w:after="0" w:line="30"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2</w:t>
      </w:r>
      <w:r>
        <w:rPr>
          <w:rFonts w:ascii="Times New Roman" w:cs="Times New Roman" w:eastAsia="Times New Roman" w:hAnsi="Times New Roman"/>
          <w:sz w:val="17"/>
          <w:szCs w:val="17"/>
          <w:color w:val="auto"/>
        </w:rPr>
        <w:t>: Identify the performance obligations in the contract</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3</w:t>
      </w:r>
      <w:r>
        <w:rPr>
          <w:rFonts w:ascii="Times New Roman" w:cs="Times New Roman" w:eastAsia="Times New Roman" w:hAnsi="Times New Roman"/>
          <w:sz w:val="17"/>
          <w:szCs w:val="17"/>
          <w:color w:val="auto"/>
        </w:rPr>
        <w:t>: Determine the transaction price</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4</w:t>
      </w:r>
      <w:r>
        <w:rPr>
          <w:rFonts w:ascii="Times New Roman" w:cs="Times New Roman" w:eastAsia="Times New Roman" w:hAnsi="Times New Roman"/>
          <w:sz w:val="17"/>
          <w:szCs w:val="17"/>
          <w:color w:val="auto"/>
        </w:rPr>
        <w:t>: Allocate the transaction price to the performance obligations in the contract</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5</w:t>
      </w:r>
      <w:r>
        <w:rPr>
          <w:rFonts w:ascii="Times New Roman" w:cs="Times New Roman" w:eastAsia="Times New Roman" w:hAnsi="Times New Roman"/>
          <w:sz w:val="17"/>
          <w:szCs w:val="17"/>
          <w:color w:val="auto"/>
        </w:rPr>
        <w:t>: Recognize revenue when (or as) a performance obligation is satisfied</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generates service revenue through a joint development agreement with a research partner. The Company recognizes revenue related to the research and development aspects of the agreement over time using the input method as work is performed on the contract.</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also generates grant revenue, which represents monies received on contracts with various federal agencies and nonprofit research institutions for general research conducted by the Company to further their product development and are therefore considered contributions to the Company. The contracts are generally for periods of one year or more and can be cancelled by either party. The Company concluded that the grant arrangements do not meet the criteria to be treated as a collaborative arrangement under FASB ASC Topic 808 as the Company is the only active participant in the arrangement. The grant arrangements also do not meet the criteria for revenue recognition under Topic 606, as the U.S. Government would not meet the definition of a customer.</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Amounts earned under these grant contracts are recorded as a reduction to research and development expense when eligible expenses are incurred and the right to payment is realizable or realized and earned. The Company believes this policy is consistent with Topic 606, to ensure that recognition reflects the transfer of promised goods or services to customers in an amount that reflects the consideration that the Company expects to be entitled to in exchange for those goods or services, even though there is no exchange as defined in Topic 606. Additionally, the Company has determined that the recognition of amounts received as costs are incurred and amounts become realizable is analogous to the concept of transfer of control of a service over time under Topic 606.</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Receipts of grant awards in advance, which are payable back to the funding agency if not used in accordance with conditions in the grants related to allowable costs or receipt of funding from research partners related to service revenue arrangements before work is performed on the contract, are classified as contract liabilities in the accompanying balance sheets.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13"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The Company accounts for research and development costs in accordance with Accounting Standards Codification (ASC) subtopic 730-10, </w:t>
      </w:r>
      <w:r>
        <w:rPr>
          <w:rFonts w:ascii="Times New Roman" w:cs="Times New Roman" w:eastAsia="Times New Roman" w:hAnsi="Times New Roman"/>
          <w:sz w:val="17"/>
          <w:szCs w:val="17"/>
          <w:i w:val="1"/>
          <w:iCs w:val="1"/>
          <w:color w:val="auto"/>
        </w:rPr>
        <w:t>Research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Development</w:t>
      </w:r>
      <w:r>
        <w:rPr>
          <w:rFonts w:ascii="Times New Roman" w:cs="Times New Roman" w:eastAsia="Times New Roman" w:hAnsi="Times New Roman"/>
          <w:sz w:val="17"/>
          <w:szCs w:val="17"/>
          <w:color w:val="auto"/>
        </w:rPr>
        <w:t>. Accordingly, internal research and development costs are expensed as incurred. Research and development costs consist of costs related to labor,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and supplies. Research and development costs incurred were $2,188,795 during the nine months ended September 30, 2023. Research and development costs incurred were $4,425,195 during the nine months ended September 30, 2022.</w:t>
      </w:r>
    </w:p>
    <w:p>
      <w:pPr>
        <w:spacing w:after="0" w:line="168"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At September 30, 2023 and December 31, 2022, the Company has a state tax credit receivable of $32,459 for pending refunds related to the selling of research and development tax credits back to the State of Connecticut. At September 30, 2023 and December 31, 2022, the Company has $0 and $28,925, respectively for pending refunds related to Canadian Scientific Research and Experimental Development (SRED) credits. At September 30, 2023 and December 31, 2022, the Company has also recorded $8,066 and $8,282, respectively, related to refunds of Canadian Goods and Services Tax (GST) and Quebec Sales Tax (QST). Receipts of refunds are recorded in other income on the statements of operations.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1" w:name="page152"/>
    <w:bookmarkEnd w:id="151"/>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in accordance with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(ASC 718). ASC 718 requires employee stock options and rights to purchase shares under stock participation plans to be accounted for at fair value. ASC 718 requires that compensation costs related to share-based payment transactions be recognized as operating expenses in the financial statements. Under this method, compensation costs for all awards granted or modified are measured at estimated fair value at date of grant and are included as compensation expense over the vesting period during which an employee provides service in exchange for the award. For awards with a performance condition that affects vesting, the Company recognizes compensation expense when it is determined probable that the performance condition will be achieved. The Company recognized the effect of forfeitures when the forfeitures occur.</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uses a Black-Scholes option pricing model to determine fair value of its stock options. The Black-Scholes model includes various assumptions, including the value of the underlying common stock, the expected life of stock options, the expected volatility and the expected risk-free interest rate. These assumptions reflect the Company’s best estimates, but they involve inherent uncertainties based on market conditions generally outside of the control of the Company. As a result, if other assumptions had been used, stock-based compensation cost could have been materially impacted. Furthermore, if the Company uses different assumptions for future grants, stock-based compensation cost could be materially impacted in future periods.</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 xml:space="preserve">The Company accounts for equity instruments issued to non-employees in accordance with the provisions of ASC 718 as updated by Accounting Standards Update (ASU) No. 2018-07, </w:t>
      </w:r>
      <w:r>
        <w:rPr>
          <w:rFonts w:ascii="Times New Roman" w:cs="Times New Roman" w:eastAsia="Times New Roman" w:hAnsi="Times New Roman"/>
          <w:sz w:val="17"/>
          <w:szCs w:val="17"/>
          <w:i w:val="1"/>
          <w:iCs w:val="1"/>
          <w:color w:val="auto"/>
        </w:rPr>
        <w:t>Improvements to Nonemployee Share-Based Payment Accounting</w:t>
      </w:r>
      <w:r>
        <w:rPr>
          <w:rFonts w:ascii="Times New Roman" w:cs="Times New Roman" w:eastAsia="Times New Roman" w:hAnsi="Times New Roman"/>
          <w:sz w:val="17"/>
          <w:szCs w:val="17"/>
          <w:color w:val="auto"/>
        </w:rPr>
        <w:t>, which expands the scope of ASC 718 to include share-based payment transactions to non-employees.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assumptions are used in valuing options issued using the Black-Scholes option pricing model:</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 The expected volatility of the Company’s shares is estimated based on the average volatility of peer companies.</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of options is estimated using the simplified method which is based on the vesting period and contractual term for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or for each vesting-tranche for awards with graded vesting.</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Underlying Common Stock Value</w:t>
      </w:r>
      <w:r>
        <w:rPr>
          <w:rFonts w:ascii="Times New Roman" w:cs="Times New Roman" w:eastAsia="Times New Roman" w:hAnsi="Times New Roman"/>
          <w:sz w:val="17"/>
          <w:szCs w:val="17"/>
          <w:color w:val="auto"/>
        </w:rPr>
        <w:t>. The underlying common stock value of the Company’s shares is estimated by a third-party valuation expert up until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IPO, at which time the Company utilized its trading price on the NYSE American on the date of grant.</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Company bases the risk-free interest rate on the implied yield available on a U.S. Treasury note with terms equal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term of the underlying grant.</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Dividend Yield</w:t>
      </w:r>
      <w:r>
        <w:rPr>
          <w:rFonts w:ascii="Times New Roman" w:cs="Times New Roman" w:eastAsia="Times New Roman" w:hAnsi="Times New Roman"/>
          <w:sz w:val="17"/>
          <w:szCs w:val="17"/>
          <w:color w:val="auto"/>
        </w:rPr>
        <w:t>. The Black-Scholes valuation model calls for a single expected dividend yield as an input. The Company has not paid dividends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in the past nor does it expect to pay dividends on Common stock in the near future. As such, the Company uses a dividend yield percentage of zero.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uses the liability method of accounting for income taxes, as set forth in ASC 740, Accounting for Income Taxes.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Management has evaluated the effect of ASC guidance related to uncertain income tax positions and concluded that the Company has no significant financial statement exposure to uncertain income tax positions at September 30, 2023 and December 31, 2022. The Company’s income tax returns have not been examined by tax authorities through December 31, 2022.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2" w:name="page153"/>
    <w:bookmarkEnd w:id="152"/>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17"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The Company carries certain liabilities at fair value on a recurring basis. A fair value hierarchy that consists of three levels is used to prioritize the inputs to fair value valuation techniques:</w:t>
      </w:r>
    </w:p>
    <w:p>
      <w:pPr>
        <w:spacing w:after="0" w:line="153" w:lineRule="exact"/>
        <w:rPr>
          <w:sz w:val="20"/>
          <w:szCs w:val="20"/>
          <w:color w:val="auto"/>
        </w:rPr>
      </w:pPr>
    </w:p>
    <w:p>
      <w:pPr>
        <w:ind w:left="1220" w:hanging="605"/>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based upon observable or quoted prices for identical instruments traded in active markets.</w:t>
      </w:r>
    </w:p>
    <w:p>
      <w:pPr>
        <w:spacing w:after="0" w:line="26"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6" w:lineRule="auto"/>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Company’s financial instruments are primarily comprised of accounts receivable, accounts payable, accrued liabilities, and long-term debt. For accounts receivable, accounts payable and accrued liabilities, the carrying amount approximates fair value due to the short-term maturities of such instruments. The estimated fair value of the Company’s long-term debt approximates carrying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2016, the Financial Accounting Standards Board (“FASB”) issued Accounting Standards Update (“ASU”) 2016-02, Leases (Topic 842). This ASU requires a lessee to recognize a right-of-use asset and a lease liability under most operating leases in its balance sheet. The ASU is effective for annual and interim periods beginning after December 15, 2021. The Company adopted ASU 2016-02 on January 1, 2022. See Note 13 - Operating Leases.</w:t>
      </w:r>
    </w:p>
    <w:p>
      <w:pPr>
        <w:spacing w:after="0" w:line="163"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In December 2019, the FASB issued ASU No. 2019-12,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w:t>
      </w:r>
      <w:r>
        <w:rPr>
          <w:rFonts w:ascii="Times New Roman" w:cs="Times New Roman" w:eastAsia="Times New Roman" w:hAnsi="Times New Roman"/>
          <w:sz w:val="17"/>
          <w:szCs w:val="17"/>
          <w:i w:val="1"/>
          <w:iCs w:val="1"/>
          <w:color w:val="auto"/>
        </w:rPr>
        <w:t>Simplifying the Accounting for Income Taxes</w:t>
      </w:r>
      <w:r>
        <w:rPr>
          <w:rFonts w:ascii="Times New Roman" w:cs="Times New Roman" w:eastAsia="Times New Roman" w:hAnsi="Times New Roman"/>
          <w:sz w:val="17"/>
          <w:szCs w:val="17"/>
          <w:color w:val="auto"/>
        </w:rPr>
        <w:t>. This standard simplifies the accounting for income taxes through the removal of various exceptions previously provided, as well as providing additional reporting requirements for income taxes. The ASU is effective for the Company on January 1, 2022. The Company has adopted this standard effective January 1, 2022, which did not have a material impact to the financial statements.</w:t>
      </w:r>
    </w:p>
    <w:p>
      <w:pPr>
        <w:spacing w:after="0" w:line="164"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In August 2020, the FASB issued ASU No. 2020-06, </w:t>
      </w:r>
      <w:r>
        <w:rPr>
          <w:rFonts w:ascii="Times New Roman" w:cs="Times New Roman" w:eastAsia="Times New Roman" w:hAnsi="Times New Roman"/>
          <w:sz w:val="17"/>
          <w:szCs w:val="17"/>
          <w:i w:val="1"/>
          <w:iCs w:val="1"/>
          <w:color w:val="auto"/>
        </w:rPr>
        <w:t>Debt - Debt with Conversion and Other Options (Subtopic 470-20) and Derivatives and Hedging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in Entity’s Own Equity (Subtopic 815-40)</w:t>
      </w:r>
      <w:r>
        <w:rPr>
          <w:rFonts w:ascii="Times New Roman" w:cs="Times New Roman" w:eastAsia="Times New Roman" w:hAnsi="Times New Roman"/>
          <w:sz w:val="17"/>
          <w:szCs w:val="17"/>
          <w:color w:val="auto"/>
        </w:rPr>
        <w:t>, which simplifies the accounting for certain financial instruments with characteristics of liabilities and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convertible instruments and contracts on an entity’s own equity. This standard will be effective for the Company on January 1, 2024, with early adoption permitted (but no earlier than fiscal years beginning after December 15, 2020). The Company has adopted this standard effective January 1, 2021, which did not have a material impact to the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3" w:name="page154"/>
    <w:bookmarkEnd w:id="153"/>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Employee Retention Credit</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September 30, 2021. Based on these additional provisions, the tax credit is now equal to 70% of qualified wages paid to employees during a quarter, and the limit on qualified wages per employee has been increased to $10,000 of qualified wages per quarter. In April 2022, the Company determined it qualified for the tax credit under the CARES Act and recorded a receivable for $229,813 and recognized the amounts as other income on the statement of operations. The Company received full payment for the amount in September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Property and Equipment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consisted of the following at September 30, 2023 and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80" w:type="dxa"/>
            <w:vAlign w:val="bottom"/>
          </w:tcPr>
          <w:p>
            <w:pPr>
              <w:spacing w:after="0"/>
              <w:rPr>
                <w:sz w:val="20"/>
                <w:szCs w:val="20"/>
                <w:color w:val="auto"/>
              </w:rPr>
            </w:pP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1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1,008,063</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1,034,579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Computers and office equipment</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30,825</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30,825</w:t>
            </w:r>
          </w:p>
        </w:tc>
      </w:tr>
      <w:tr>
        <w:trPr>
          <w:trHeight w:val="20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24,316</w:t>
            </w:r>
          </w:p>
        </w:tc>
        <w:tc>
          <w:tcPr>
            <w:tcW w:w="18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24,316</w:t>
            </w:r>
          </w:p>
        </w:tc>
      </w:tr>
      <w:tr>
        <w:trPr>
          <w:trHeight w:val="204"/>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28,855</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28,855</w:t>
            </w: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 equipment</w:t>
            </w: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14,932</w:t>
            </w:r>
          </w:p>
        </w:tc>
        <w:tc>
          <w:tcPr>
            <w:tcW w:w="18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14,932</w:t>
            </w:r>
          </w:p>
        </w:tc>
      </w:tr>
      <w:tr>
        <w:trPr>
          <w:trHeight w:val="190"/>
        </w:trPr>
        <w:tc>
          <w:tcPr>
            <w:tcW w:w="50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property and equipment</w:t>
            </w:r>
          </w:p>
        </w:tc>
        <w:tc>
          <w:tcPr>
            <w:tcW w:w="19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1,106,991</w:t>
            </w: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1,133,507</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&amp; amortization</w:t>
            </w: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(370,568)</w:t>
            </w:r>
          </w:p>
        </w:tc>
        <w:tc>
          <w:tcPr>
            <w:tcW w:w="18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(286,549)</w:t>
            </w:r>
          </w:p>
        </w:tc>
      </w:tr>
      <w:tr>
        <w:trPr>
          <w:trHeight w:val="202"/>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19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736,423</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846,958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Depreciation expense was $92,000 for the nine months ended September 30, 2023. Depreciation expense was $90,165 for the nine months ended September 30, 2022.</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the nine months ended September 30, 2023 there was $41,417 of loss on disposal of property and equipment recorded. For the nine months ended September 30, 2022 there was $7,923 of loss on disposal of property and equipment recorded.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Intangible Assets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consisted of the following at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19"/>
                <w:szCs w:val="19"/>
                <w:color w:val="auto"/>
              </w:rPr>
            </w:pPr>
          </w:p>
        </w:tc>
        <w:tc>
          <w:tcPr>
            <w:tcW w:w="1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Useful Life</w:t>
            </w:r>
          </w:p>
        </w:tc>
        <w:tc>
          <w:tcPr>
            <w:tcW w:w="16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Gross Amount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Impairment</w:t>
            </w:r>
          </w:p>
        </w:tc>
        <w:tc>
          <w:tcPr>
            <w:tcW w:w="22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Net Amount</w:t>
            </w:r>
          </w:p>
        </w:tc>
        <w:tc>
          <w:tcPr>
            <w:tcW w:w="0" w:type="dxa"/>
            <w:vAlign w:val="bottom"/>
          </w:tcPr>
          <w:p>
            <w:pPr>
              <w:spacing w:after="0"/>
              <w:rPr>
                <w:sz w:val="1"/>
                <w:szCs w:val="1"/>
                <w:color w:val="auto"/>
              </w:rPr>
            </w:pPr>
          </w:p>
        </w:tc>
      </w:tr>
      <w:tr>
        <w:trPr>
          <w:trHeight w:val="204"/>
        </w:trPr>
        <w:tc>
          <w:tcPr>
            <w:tcW w:w="1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3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Indefinite</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56,409</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Patents</w:t>
            </w:r>
          </w:p>
        </w:tc>
        <w:tc>
          <w:tcPr>
            <w:tcW w:w="2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17 years</w:t>
            </w:r>
          </w:p>
        </w:tc>
        <w:tc>
          <w:tcPr>
            <w:tcW w:w="16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119,361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13,530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105,831</w:t>
            </w:r>
          </w:p>
        </w:tc>
        <w:tc>
          <w:tcPr>
            <w:tcW w:w="0" w:type="dxa"/>
            <w:vAlign w:val="bottom"/>
          </w:tcPr>
          <w:p>
            <w:pPr>
              <w:spacing w:after="0"/>
              <w:rPr>
                <w:sz w:val="1"/>
                <w:szCs w:val="1"/>
                <w:color w:val="auto"/>
              </w:rPr>
            </w:pPr>
          </w:p>
        </w:tc>
      </w:tr>
      <w:tr>
        <w:trPr>
          <w:trHeight w:val="237"/>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agreement</w:t>
            </w:r>
          </w:p>
        </w:tc>
        <w:tc>
          <w:tcPr>
            <w:tcW w:w="22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17 years</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78,606</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78,606</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1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254,376</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13,530</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78,606</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162,240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w w:val="93"/>
              </w:rPr>
              <w:t>F-35</w:t>
            </w: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54" w:name="page155"/>
    <w:bookmarkEnd w:id="154"/>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Useful Life</w:t>
            </w:r>
          </w:p>
        </w:tc>
        <w:tc>
          <w:tcPr>
            <w:tcW w:w="16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Gross Amount</w:t>
            </w:r>
          </w:p>
        </w:tc>
        <w:tc>
          <w:tcPr>
            <w:tcW w:w="200" w:type="dxa"/>
            <w:vAlign w:val="bottom"/>
          </w:tcPr>
          <w:p>
            <w:pPr>
              <w:spacing w:after="0"/>
              <w:rPr>
                <w:sz w:val="20"/>
                <w:szCs w:val="20"/>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Impairment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Net Amount</w:t>
            </w:r>
          </w:p>
        </w:tc>
      </w:tr>
      <w:tr>
        <w:trPr>
          <w:trHeight w:val="204"/>
        </w:trPr>
        <w:tc>
          <w:tcPr>
            <w:tcW w:w="1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3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Indefinite</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53,999</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17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w w:val="83"/>
              </w:rPr>
              <w:t>-</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53,999</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04"/>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Patents</w:t>
            </w:r>
          </w:p>
        </w:tc>
        <w:tc>
          <w:tcPr>
            <w:tcW w:w="2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17 years</w:t>
            </w:r>
          </w:p>
        </w:tc>
        <w:tc>
          <w:tcPr>
            <w:tcW w:w="160" w:type="dxa"/>
            <w:vAlign w:val="bottom"/>
          </w:tcPr>
          <w:p>
            <w:pPr>
              <w:spacing w:after="0"/>
              <w:rPr>
                <w:sz w:val="17"/>
                <w:szCs w:val="17"/>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108,198</w:t>
            </w:r>
          </w:p>
        </w:tc>
        <w:tc>
          <w:tcPr>
            <w:tcW w:w="200" w:type="dxa"/>
            <w:vAlign w:val="bottom"/>
          </w:tcPr>
          <w:p>
            <w:pPr>
              <w:spacing w:after="0"/>
              <w:rPr>
                <w:sz w:val="17"/>
                <w:szCs w:val="17"/>
                <w:color w:val="auto"/>
              </w:rPr>
            </w:pP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8,140</w:t>
            </w:r>
          </w:p>
        </w:tc>
        <w:tc>
          <w:tcPr>
            <w:tcW w:w="1340" w:type="dxa"/>
            <w:vAlign w:val="bottom"/>
          </w:tcPr>
          <w:p>
            <w:pPr>
              <w:spacing w:after="0"/>
              <w:rPr>
                <w:sz w:val="17"/>
                <w:szCs w:val="17"/>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100,058</w:t>
            </w:r>
          </w:p>
        </w:tc>
        <w:tc>
          <w:tcPr>
            <w:tcW w:w="80" w:type="dxa"/>
            <w:vAlign w:val="bottom"/>
          </w:tcPr>
          <w:p>
            <w:pPr>
              <w:spacing w:after="0"/>
              <w:rPr>
                <w:sz w:val="17"/>
                <w:szCs w:val="17"/>
                <w:color w:val="auto"/>
              </w:rPr>
            </w:pPr>
          </w:p>
        </w:tc>
      </w:tr>
      <w:tr>
        <w:trPr>
          <w:trHeight w:val="237"/>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agreement</w:t>
            </w:r>
          </w:p>
        </w:tc>
        <w:tc>
          <w:tcPr>
            <w:tcW w:w="22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17 years</w:t>
            </w: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65,510</w:t>
            </w:r>
          </w:p>
        </w:tc>
        <w:tc>
          <w:tcPr>
            <w:tcW w:w="2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65,510</w:t>
            </w:r>
          </w:p>
        </w:tc>
      </w:tr>
      <w:tr>
        <w:trPr>
          <w:trHeight w:val="202"/>
        </w:trPr>
        <w:tc>
          <w:tcPr>
            <w:tcW w:w="1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227,707</w:t>
            </w: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8,140</w:t>
            </w:r>
          </w:p>
        </w:tc>
        <w:tc>
          <w:tcPr>
            <w:tcW w:w="360" w:type="dxa"/>
            <w:vAlign w:val="bottom"/>
            <w:tcBorders>
              <w:top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117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7"/>
                <w:szCs w:val="7"/>
                <w:color w:val="auto"/>
                <w:w w:val="83"/>
              </w:rPr>
              <w:t>-</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219,567</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the nine months ended September 30, 2023, amortization expense related to intangible assets was $5,390. During the nine months ended September 30, 2022, amortization expense related to intangible assets was $3,350.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Accrued Expenses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consisted of the following at September 30, 2023 and 2022:</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6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Employee payroll and bonuses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272,950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371,010</w:t>
            </w: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Vacation</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57,963</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27,082</w:t>
            </w: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130,233</w:t>
            </w:r>
          </w:p>
        </w:tc>
        <w:tc>
          <w:tcPr>
            <w:tcW w:w="180" w:type="dxa"/>
            <w:vAlign w:val="bottom"/>
          </w:tcPr>
          <w:p>
            <w:pPr>
              <w:spacing w:after="0"/>
              <w:rPr>
                <w:sz w:val="17"/>
                <w:szCs w:val="17"/>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316,389</w:t>
            </w: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223,792</w:t>
            </w: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255,794</w:t>
            </w:r>
          </w:p>
        </w:tc>
        <w:tc>
          <w:tcPr>
            <w:tcW w:w="180" w:type="dxa"/>
            <w:vAlign w:val="bottom"/>
          </w:tcPr>
          <w:p>
            <w:pPr>
              <w:spacing w:after="0"/>
              <w:rPr>
                <w:sz w:val="17"/>
                <w:szCs w:val="17"/>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24,502</w:t>
            </w:r>
          </w:p>
        </w:tc>
      </w:tr>
      <w:tr>
        <w:trPr>
          <w:trHeight w:val="237"/>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3,155</w:t>
            </w:r>
          </w:p>
        </w:tc>
        <w:tc>
          <w:tcPr>
            <w:tcW w:w="18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31,186</w:t>
            </w:r>
          </w:p>
        </w:tc>
      </w:tr>
      <w:tr>
        <w:trPr>
          <w:trHeight w:val="207"/>
        </w:trPr>
        <w:tc>
          <w:tcPr>
            <w:tcW w:w="6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accrued expenses</w:t>
            </w: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720,095</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993,961</w:t>
            </w:r>
          </w:p>
        </w:tc>
        <w:tc>
          <w:tcPr>
            <w:tcW w:w="100" w:type="dxa"/>
            <w:vAlign w:val="bottom"/>
            <w:tcBorders>
              <w:top w:val="single" w:sz="8" w:color="CCEEFF"/>
            </w:tcBorders>
          </w:tcPr>
          <w:p>
            <w:pPr>
              <w:spacing w:after="0"/>
              <w:rPr>
                <w:sz w:val="18"/>
                <w:szCs w:val="18"/>
                <w:color w:val="auto"/>
              </w:rPr>
            </w:pPr>
          </w:p>
        </w:tc>
      </w:tr>
    </w:tbl>
    <w:p>
      <w:pPr>
        <w:spacing w:after="0" w:line="170"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Company accrues expenses related to development activities performed by third parties based on an evaluation of services received and efforts expended pursuant to the terms of the contractual arrangements. Payments under some of these contracts depend on research and non-clinical trial milestones. There may be instances in which payments made to the Company’s vendors will exceed the level of services provided and result in a prepayment of expense. In accruing service fees, the Company estimates the period over which services will be performed and the level of effort to be expended in each period. If the actual timing of the performance of services or the level of effort varies from the estimate, the Company will adjust the accrual or prepaid expense accordingly. The Company has not experienced any material differences between accrued costs and actual costs incurred since its inception.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Convertible Debt</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In September 2022, the Company entered into a Convertible Note Purchase Agreement (the Agreement) to issue up to $4,500,000 convertible promissory notes. On the same day, the Company entered into convertible promissory notes (2022 Convertible Notes) with three investors totaling $4,350,000. The 2022 Convertible Notes mature on January 13, 2023 or the occurrence of an Event of Default (as defined) and bear interest at a rate of 8% per annum which shall accrue but is not due and payable until conversion or full repayment of outstanding principal. The principal and interest outstanding under the 2022 Convertible Notes is automatically converted a) upon the closing of a Qualified Financing resulting in gross proceeds to the Company of at least $20 million into securities issued in connection with the Qualified Financing, at a discount of 30% per share; b) upon the closing of a Change of Control event into shares of capital stock of the Company or Series B preferred stock; and c) upon the closing of a Public Company Event, into shares of capital stock being issued to investors equal to two-times (2x) the amount of the outstanding principal and accrued interest then outstanding divided by the public offering price per share. The principal and interest outstanding under the 2022 Convertible Notes is convertible, at the option of the holders, at the maturity date into a new class of Company’s Preferred Stock (Series C Preferred) equal to the quotient of the outstanding principal amount plus interest divided by the Capped Price, which is defined as the price per share equal to the Valuation Cap of $30 million divided by the Company Capitalization, as defined in the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5" w:name="page156"/>
    <w:bookmarkEnd w:id="155"/>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2023, the 2022 Convertible Notes were amended to extend the maturity date to March 31, 2023 and to change the conversion price upon a Qualified Financing or Change in Control event to $30 million divided by the number of shares of the Company’s common stock issued and outstanding, on a fully diluted basis, immediately prior to the close of the Qualified Financing or Change in Control event.</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April and June 2023, the 2022 Convertible Notes were further amended to extend the maturity date to September 30, 2023 and allow for the sale of additional notes of $500,000 for a total aggregate principal of $4,850,000.</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Effective June 21, 2023, the 2022 Convertible Notes were converted to 1,846,020 shares of the Company’s common stock equal to $9,494,887. Upon conversion, the Company recorded a change in fair value of $3,630,100 for the nine months ended September 30, 2023, which was recognized as a non-cash change in fair value in Other Income (Expense) on the statement of operations.</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accounts for the 2022 Convertible Notes under ASC 815. Under 815-15-25, the election can be at the inception of a financial instrument to account for the instrument under the fair value option under ASC 825. The Company has made such election for the 2022 Convertible Notes. Using the fair value option, the convertible promissory note is to be recorded at its initial fair value on the date of issuance, and each balance sheet date thereafter. The Company evaluates the change based on the conversion price at the current market value. When recognized, changes in the estimated fair value of the notes are recognized as a non-cash gain or loss in Other Income (Expense) on the statements of operations.</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Effective January 5, 2021, the Company entered into a Note Purchase Agreement to issue up to $2,000,000 of convertible promissory notes. On the same date, the Company entered into a convertible promissory note (2021 Convertible Note) with one investor for $1,000,000. The 2021 Convertible Note bears interest at a rate of 6% per annum and is due and payable in full on January 5, 2023. The 2021 Convertible Note automatically converts upon a qualified equity financing, as defined in the note agreement to the number of shares equal to all principal and accrued interest divided by the conversion price of $48.00, which is subject to adjustment as defined in the note agreement. The 2021 Convertible Note is also optionally convertible as defined in the note agreement for certain non-qualified financing, a change in control, or upon the maturity date of the 2021 Convertible Note. The Company incurred issuance costs of $15,613 related to the 2021 Convertible Note, which has been recorded as a debt discount and will be amortized over the term of the 2021 Convertible Note.</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January 2023, the Company elected to convert the 2021 Convertible Note, including interest accrued but not yet paid of $124,759 at a conversion price of $48.00 into 23,432 shares of its Series B Preferred Stock in accordance with the terms outlined in the Note Purchase Agreement.</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evaluated the terms and conditions of the Note Purchase Agreement related to the 2021 Convertible Note in order to assess the accounting considerations under ASC 480 - Distinguishing Liabilities from Equity, and ASC 815 - Derivatives and Hedging. The Company determined the Convertible Note does not meet any of the criteria to be accounted pursuant to an ASC 480 liability. The Company also assessed the embedded features pursuant to the guidance in ASC 815 and determined the embedded features do not meet any of the criteria for bifurcation.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Convertible notes payable consisted of the following at:</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6"/>
        </w:trPr>
        <w:tc>
          <w:tcPr>
            <w:tcW w:w="5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Note</w:t>
            </w:r>
          </w:p>
        </w:tc>
        <w:tc>
          <w:tcPr>
            <w:tcW w:w="1760" w:type="dxa"/>
            <w:vAlign w:val="bottom"/>
            <w:tcBorders>
              <w:top w:val="single" w:sz="8" w:color="auto"/>
            </w:tcBorders>
            <w:shd w:val="clear" w:color="auto" w:fill="CCEEFF"/>
          </w:tcPr>
          <w:p>
            <w:pPr>
              <w:jc w:val="right"/>
              <w:ind w:right="159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Notes</w:t>
            </w:r>
          </w:p>
        </w:tc>
        <w:tc>
          <w:tcPr>
            <w:tcW w:w="1760" w:type="dxa"/>
            <w:vAlign w:val="bottom"/>
          </w:tcPr>
          <w:p>
            <w:pPr>
              <w:spacing w:after="0"/>
              <w:rPr>
                <w:sz w:val="19"/>
                <w:szCs w:val="19"/>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5,600,000</w:t>
            </w:r>
          </w:p>
        </w:tc>
      </w:tr>
      <w:tr>
        <w:trPr>
          <w:trHeight w:val="217"/>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convertible notes</w:t>
            </w:r>
          </w:p>
        </w:tc>
        <w:tc>
          <w:tcPr>
            <w:tcW w:w="1760" w:type="dxa"/>
            <w:vAlign w:val="bottom"/>
            <w:tcBorders>
              <w:top w:val="single" w:sz="8" w:color="auto"/>
              <w:bottom w:val="single" w:sz="8" w:color="auto"/>
            </w:tcBorders>
            <w:shd w:val="clear" w:color="auto" w:fill="CCEEFF"/>
          </w:tcPr>
          <w:p>
            <w:pPr>
              <w:jc w:val="right"/>
              <w:ind w:right="159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There was $0 amortized related to the debt issuance costs during the nine months ended September 30, 2023. There was $5,904 amortized related to the debt issuance costs during the nine months ended September 30, 2022. Interest accrued on the convertible notes was $0 and $223,792 at September 30, 2023 and December 31, 2022,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6" w:name="page157"/>
    <w:bookmarkEnd w:id="156"/>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Stockholders’ Equity</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On May 17, 2023, the Company effected a 7.1-for-1 forward stock split (the “Forward Stock Split”) of its issued and outstanding shares of common stock and a proportional adjustment to the existing conversion ratios for each series of the Company’s preferred stock. The par value of the common stock was adjusted as a result of the Forward Stock Split from $0.01 to $0.0001 and the authorized shares were increased to 100,000,0000 shares of common stock in connection with the Forward Stock Split. Fractional shares resulting from the Forward Stock Split were rounded down to the next whole share and in lieu of any fractional shares the Company will pay a cash amount to the holder of such fractional share. The accompanying financial statements and notes to the financial statements give retroactive effect to the Forward Stock Split for all periods presented. Shares of common stock underlying outstanding stock-based awards and other equity instruments were proportionately increased and the respective per share value and exercise prices, if applicable, were proportionately decreased in accordance with the terms of the agreements governing such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September 30, 2023 and December 31, 2022, per the Company’s amended and restated Certificate of Incorporation, the Company was authorized to issue 100,000,000 shares of $0.0001 par value common stock.</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had 12,097,643 and 1,043,988 shares of common stock issued and outstanding as of September 30, 2023 and December 31, 2022, respectively.</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Each share of common stock entitles the holder to one vote on all matters submitted to a vote of the Company’s stockholders and the holders of the Common Stock are entitled to elect one director of the Corporation.</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currently has 1,611,991 shares of common stock reserved for future issuance for the potential exercise of stock options and warrants outstanding at September 30,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September 30, 2023 and December 31, 2022, per the Company’s amended and restated Certificate of Incorporation, the Company has authorized 1,437,150 shares of $0.0001 par value preferred stock.</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January 2023, the Company issued 23,432 shares of its Series B Preferred Stock related to conversion of the 2021 Convertible Note at a conversion price of $48.00 per share (see Note 7).</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Series A, Series A-1, and Series B Preferred Stock have the following rights, preferences and privileges: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preferred stock is convertible, at the option of the holder, into common shares based upon a predefined formula. A holder of preferred stock may convert such shares into common shares at any time. For purpose of conversion, the initial conversion price is $16.25 per share (original issue price) for Series A Preferred Stock, $37.50 per share (original issue price) for Series A-1 Preferred Stock, and $43.45 per share (original issue price) for Series B Preferred Stock, and is subject to adjustment as described in the Certificate of Incorporation. Preferred stock will automatically convert into common shares upon the earlier of (a) an initial public offering with gross proceeds in excess of $100,000,000 or (b) the date and time, or the occurrence of an event, specified by vote or written consent of the required preferred stock shareholders, all outstanding Series A, Series A-1, and Series B Preferred Stock shall automatically convert into common shares, at the then effective conversion rate.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7" w:name="page158"/>
    <w:bookmarkEnd w:id="157"/>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Upon the Company’s IPO in June 2023, all of the outstanding preferred stock converted to common stock, resulting in the issuance of 1,458,233, 2,964,849, and 3,284,553 shares of common stock in exchange for outstanding Series A, Series A-1, and Series B Preferred Stock, respectively. There was no gain or loss upon conversion.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holders of the Series A, Series A-1, and Series B Preferred Stock are entitled to vote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The holders of the Series A and Series A-1 Preferred Stock are each entitled to elect one director of the Corporation. The holders of the Series B Stock are entitled to elect two members of the Board. Each class of preferred stock can remove from office such directors and to fill any vacancy caused by the resignation, death or removal of such directors under certain circumstances as described in the Certificate of Incorporation.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holders of Series A Preferred Stock are entitled to receive dividends at a rate of 8% per annum of the Series A original issue price of $16.25 per share on each outstanding share of Series A Preferred Stock (subject to appropriate adjustment in the event of any stock dividend, stock split, combination or other similar recapitalization with respect to the Series A Preferred Stock). Dividends accumulate from the original date of issuance of the Series A Preferred Stock, are cumulative and are payable upon declaration of the Board of Directors or liquidation of the Company. At September 30, 2023, there were no cumulative dividends on Series A Preferred Stock as there was no longer any Series A Preferred Stock outstanding.</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holders of Series A-1 Stock are entitled to receive dividends at a rate of 8% per annum of the Series A-1 original issue price of $37.50 per share on each outstanding share of Series A-1 (subject to appropriate adjustment in the event of any stock dividend, stock split, combination or other similar recapitalization with respect to the Series A-1 Preferred Stock). Dividends are cumulative and are payable upon declaration of the Board of Directors or liquidation of the Company. At September 30, 2023, there were no cumulative dividends on Series A-1 Preferred Stock as there was no longer any Series A-1 Preferred Stock outstanding.</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holders of Series B Stock are entitled to receive dividends at a rate of 8% per annum of the Series B original issue price of $43.45 per share on each outstanding share of Series B (subject to appropriate adjustment in the event of any stock dividend, stock split, combination or other similar recapitalization with respect to the Series B Preferred Stock). Dividends are cumulative and are payable upon declaration of the Board of Directors or liquidation of the Company. At September 30, 2023, there were no cumulative dividends on Series B Preferred Stock as there was no longer any Series B Preferred Stock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the event of any liquidation, dissolution or winding up of the Company, the holders of the preferred stock are entitled to receive, prior to and in preference to the holders of the common shares, an amount equal to the Series A, Series A-1, or Series B Preferred Stock original issue price, plus declared and/or accrued but unpaid dividends. In the event of any such liquidation event, after the payment of all preferential amounts required to be paid to the holders of shares of preferred stock,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into Common Stock pursuant to the terms of the Certificate of Incorporation immediately prior to such liquidation event.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8" w:name="page159"/>
    <w:bookmarkEnd w:id="158"/>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Warrants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Company issued warrants to purchase 6,745 shares of common stock in 2018 in conjunction with convertible debt financing that have a redemption provision providing the holder the right to have the Company redeem all or any portion of the warrant (or shares it has converted into) at a purchase price equal to the fair market value of the shares as determined by the board of directors or an independent appraiser. As a result of this redemption provision, the warrants have been classified as a liability in the financial statements based on ASC 480 - Distinguishing Liabilities from Equity. These warrants have an exercise price of $0.48 per share and a term of 10 years. The warrants are marked to market each reporting period. The fair value is $60,933 and $70,283 at September 30, 2023 and December 31, 2022, respectively.</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also issued warrants in 2016 and 2019 which did not meet the criteria under ASC 480 to be classified as a liability, and instead meet equity classification criteria. The 11,466 warrants issued in 2016 expired upon the initial public offering in June 2023.</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information about warrants outstanding at September 30,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7"/>
                <w:szCs w:val="17"/>
                <w:b w:val="1"/>
                <w:bCs w:val="1"/>
                <w:color w:val="auto"/>
              </w:rPr>
              <w:t>Warrants Outstanding</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Warrant Exercisable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4"/>
        </w:trPr>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7"/>
                <w:szCs w:val="17"/>
                <w:b w:val="1"/>
                <w:bCs w:val="1"/>
                <w:color w:val="auto"/>
                <w:w w:val="98"/>
              </w:rPr>
              <w:t>Weight</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Weight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4"/>
        </w:trPr>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3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Warrants at</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2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Warrants at</w:t>
            </w:r>
          </w:p>
        </w:tc>
        <w:tc>
          <w:tcPr>
            <w:tcW w:w="3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Exercise</w:t>
            </w:r>
          </w:p>
        </w:tc>
      </w:tr>
      <w:tr>
        <w:trPr>
          <w:trHeight w:val="230"/>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Year Granted</w:t>
            </w:r>
          </w:p>
        </w:tc>
        <w:tc>
          <w:tcPr>
            <w:tcW w:w="34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6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8"/>
              </w:rPr>
              <w:t>9/30/2023</w:t>
            </w:r>
          </w:p>
        </w:tc>
        <w:tc>
          <w:tcPr>
            <w:tcW w:w="3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0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9/30/2023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120" w:type="dxa"/>
            <w:vAlign w:val="bottom"/>
          </w:tcPr>
          <w:p>
            <w:pPr>
              <w:spacing w:after="0"/>
              <w:rPr>
                <w:sz w:val="20"/>
                <w:szCs w:val="20"/>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204"/>
        </w:trPr>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0.48</w:t>
            </w:r>
          </w:p>
        </w:tc>
        <w:tc>
          <w:tcPr>
            <w:tcW w:w="1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47,890</w:t>
            </w:r>
          </w:p>
        </w:tc>
        <w:tc>
          <w:tcPr>
            <w:tcW w:w="12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w w:val="97"/>
              </w:rPr>
              <w:t>4.5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0.48</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47,890</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7"/>
                <w:szCs w:val="17"/>
                <w:color w:val="auto"/>
                <w:w w:val="97"/>
              </w:rPr>
              <w:t>4.5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shd w:val="clear" w:color="auto" w:fill="CCEEFF"/>
          </w:tcPr>
          <w:p>
            <w:pPr>
              <w:spacing w:after="0"/>
              <w:rPr>
                <w:sz w:val="17"/>
                <w:szCs w:val="17"/>
                <w:color w:val="auto"/>
              </w:rPr>
            </w:pPr>
          </w:p>
        </w:tc>
      </w:tr>
      <w:tr>
        <w:trPr>
          <w:trHeight w:val="20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5.28</w:t>
            </w: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215,846</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2.4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5.28</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215,846</w:t>
            </w:r>
          </w:p>
        </w:tc>
        <w:tc>
          <w:tcPr>
            <w:tcW w:w="3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2.4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5.28</w:t>
            </w:r>
          </w:p>
        </w:tc>
        <w:tc>
          <w:tcPr>
            <w:tcW w:w="80" w:type="dxa"/>
            <w:vAlign w:val="bottom"/>
          </w:tcPr>
          <w:p>
            <w:pPr>
              <w:spacing w:after="0"/>
              <w:rPr>
                <w:sz w:val="17"/>
                <w:szCs w:val="17"/>
                <w:color w:val="auto"/>
              </w:rPr>
            </w:pPr>
          </w:p>
        </w:tc>
      </w:tr>
      <w:tr>
        <w:trPr>
          <w:trHeight w:val="22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6.25</w:t>
            </w:r>
          </w:p>
        </w:tc>
        <w:tc>
          <w:tcPr>
            <w:tcW w:w="1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60,000</w:t>
            </w:r>
          </w:p>
        </w:tc>
        <w:tc>
          <w:tcPr>
            <w:tcW w:w="12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w w:val="97"/>
              </w:rPr>
              <w:t>4.7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6.25</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60,000</w:t>
            </w: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7"/>
                <w:szCs w:val="17"/>
                <w:color w:val="auto"/>
                <w:w w:val="97"/>
              </w:rPr>
              <w:t>4.7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shd w:val="clear" w:color="auto" w:fill="CCEEFF"/>
          </w:tcPr>
          <w:p>
            <w:pPr>
              <w:spacing w:after="0"/>
              <w:rPr>
                <w:sz w:val="19"/>
                <w:szCs w:val="19"/>
                <w:color w:val="auto"/>
              </w:rPr>
            </w:pPr>
          </w:p>
        </w:tc>
      </w:tr>
      <w:tr>
        <w:trPr>
          <w:trHeight w:val="190"/>
        </w:trPr>
        <w:tc>
          <w:tcPr>
            <w:tcW w:w="1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36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323,736</w:t>
            </w:r>
          </w:p>
        </w:tc>
        <w:tc>
          <w:tcPr>
            <w:tcW w:w="34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4.75</w:t>
            </w: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323,736</w:t>
            </w:r>
          </w:p>
        </w:tc>
        <w:tc>
          <w:tcPr>
            <w:tcW w:w="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4.75</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Stock Options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March 2023, the Company’s Board of Directors and stockholders approved the 2023 Stock Incentive Plan (“2023 Plan”). The 2023 Plan allows the Committee to grant up to 2,000,000 shares of Common Stock in the form of incentive and non-statutory stock options, restricted stock awards, restricted stock units, and other stock-based awards to employees, directors, and non-employees. As of September 30, 2023, options to purchase 40,000 shares of common stock had been granted and were outstanding under the 2023 Plan and 1,960,000 shares of common stock were available for grant under the plan.</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2016, the Company established the Azitra Inc. 2016 Stock Incentive Plan (the Plan) which provides for the granting of stock options and restricted shares to the Company’s employees, officers, directors, advisors and consultants. As of September 30, 2023, options to purchase 1,248,255 shares of common stock had been granted and were outstanding under the 2016 Plan and 242,345 shares of common stock were available for grant under the plan.</w:t>
      </w:r>
    </w:p>
    <w:p>
      <w:pPr>
        <w:spacing w:after="0" w:line="16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During the nine months ended September 30, 2023 the Company granted stock options to purchase 40,000 shares of common stock and during the nine months ended September 30, 2022 the Company did not grant any stock options under this plan. During the nine months ended September 30, 2023, the Company recognized stock compensation expense of $116,661, relating to the issuance of service-based stock options. During the nine months ended September 30, 2022, the Company recognized stock compensation expense of $155,138, relating to the issuance of service-based stock options. At September 30, 2023, there was $361,288 of unamortized compensation expense that will be amortized over the remaining vesting period. At September 30, 2023 and 2022, there were 13,120 performance-based options outstanding with a fair value of $109,551. During the nine months ended September 30, 2023 and 2022, the Company did not recognize any compensation expense for performance-based options. The Company determined the options qualified as plain vanilla under the provisions of SAB 107 and the simplified method was used to estimate the expected option life.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9" w:name="page160"/>
    <w:bookmarkEnd w:id="159"/>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8040" w:type="dxa"/>
            <w:vAlign w:val="bottom"/>
            <w:gridSpan w:val="13"/>
          </w:tcPr>
          <w:p>
            <w:pPr>
              <w:ind w:left="460"/>
              <w:spacing w:after="0"/>
              <w:rPr>
                <w:sz w:val="20"/>
                <w:szCs w:val="20"/>
                <w:color w:val="auto"/>
              </w:rPr>
            </w:pPr>
            <w:r>
              <w:rPr>
                <w:rFonts w:ascii="Times New Roman" w:cs="Times New Roman" w:eastAsia="Times New Roman" w:hAnsi="Times New Roman"/>
                <w:sz w:val="17"/>
                <w:szCs w:val="17"/>
                <w:color w:val="auto"/>
              </w:rPr>
              <w:t>The following table summarizes information about options outstanding and exercisable at September 30, 2023:</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3"/>
        </w:trPr>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Options Outstanding</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Options Exercisable</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4"/>
          </w:tcPr>
          <w:p>
            <w:pPr>
              <w:jc w:val="center"/>
              <w:ind w:right="180"/>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60" w:type="dxa"/>
            <w:vAlign w:val="bottom"/>
          </w:tcPr>
          <w:p>
            <w:pPr>
              <w:spacing w:after="0"/>
              <w:rPr>
                <w:sz w:val="15"/>
                <w:szCs w:val="15"/>
                <w:color w:val="auto"/>
              </w:rPr>
            </w:pPr>
          </w:p>
        </w:tc>
        <w:tc>
          <w:tcPr>
            <w:tcW w:w="84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8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Weight Average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3"/>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6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Options at</w:t>
            </w:r>
          </w:p>
        </w:tc>
        <w:tc>
          <w:tcPr>
            <w:tcW w:w="18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20" w:type="dxa"/>
            <w:vAlign w:val="bottom"/>
          </w:tcPr>
          <w:p>
            <w:pPr>
              <w:spacing w:after="0"/>
              <w:rPr>
                <w:sz w:val="17"/>
                <w:szCs w:val="17"/>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w w:val="98"/>
              </w:rPr>
              <w:t>Weight Average</w:t>
            </w:r>
          </w:p>
        </w:tc>
        <w:tc>
          <w:tcPr>
            <w:tcW w:w="18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Options at</w:t>
            </w:r>
          </w:p>
        </w:tc>
        <w:tc>
          <w:tcPr>
            <w:tcW w:w="280" w:type="dxa"/>
            <w:vAlign w:val="bottom"/>
          </w:tcPr>
          <w:p>
            <w:pPr>
              <w:spacing w:after="0"/>
              <w:rPr>
                <w:sz w:val="17"/>
                <w:szCs w:val="17"/>
                <w:color w:val="auto"/>
              </w:rPr>
            </w:pPr>
          </w:p>
        </w:tc>
        <w:tc>
          <w:tcPr>
            <w:tcW w:w="1660" w:type="dxa"/>
            <w:vAlign w:val="bottom"/>
            <w:gridSpan w:val="4"/>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6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Exercise</w:t>
            </w:r>
          </w:p>
        </w:tc>
      </w:tr>
      <w:tr>
        <w:trPr>
          <w:trHeight w:val="230"/>
        </w:trPr>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60" w:type="dxa"/>
            <w:vAlign w:val="bottom"/>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9/30/2023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2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9/30/2023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60" w:type="dxa"/>
            <w:vAlign w:val="bottom"/>
          </w:tcPr>
          <w:p>
            <w:pPr>
              <w:spacing w:after="0"/>
              <w:rPr>
                <w:sz w:val="20"/>
                <w:szCs w:val="20"/>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204"/>
        </w:trPr>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0.48</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246,137</w:t>
            </w: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2.3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0.48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246,137</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 years</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shd w:val="clear" w:color="auto" w:fill="CCEEFF"/>
          </w:tcPr>
          <w:p>
            <w:pPr>
              <w:spacing w:after="0"/>
              <w:rPr>
                <w:sz w:val="17"/>
                <w:szCs w:val="17"/>
                <w:color w:val="auto"/>
              </w:rPr>
            </w:pPr>
          </w:p>
        </w:tc>
      </w:tr>
      <w:tr>
        <w:trPr>
          <w:trHeight w:val="204"/>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0.93</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202,040</w:t>
            </w:r>
          </w:p>
        </w:tc>
        <w:tc>
          <w:tcPr>
            <w:tcW w:w="180" w:type="dxa"/>
            <w:vAlign w:val="bottom"/>
          </w:tcPr>
          <w:p>
            <w:pPr>
              <w:spacing w:after="0"/>
              <w:rPr>
                <w:sz w:val="17"/>
                <w:szCs w:val="17"/>
                <w:color w:val="auto"/>
              </w:rPr>
            </w:pP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2.3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0.93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201,593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 year</w:t>
            </w: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Pr>
          <w:p>
            <w:pPr>
              <w:spacing w:after="0"/>
              <w:rPr>
                <w:sz w:val="17"/>
                <w:szCs w:val="17"/>
                <w:color w:val="auto"/>
              </w:rPr>
            </w:pPr>
          </w:p>
        </w:tc>
      </w:tr>
      <w:tr>
        <w:trPr>
          <w:trHeight w:val="204"/>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1.70</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800,078</w:t>
            </w: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7.5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1.70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547,151</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7.3 years</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17"/>
                <w:szCs w:val="17"/>
                <w:color w:val="auto"/>
              </w:rPr>
            </w:pPr>
          </w:p>
        </w:tc>
      </w:tr>
      <w:tr>
        <w:trPr>
          <w:trHeight w:val="210"/>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2.07</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40,000</w:t>
            </w:r>
          </w:p>
        </w:tc>
        <w:tc>
          <w:tcPr>
            <w:tcW w:w="180" w:type="dxa"/>
            <w:vAlign w:val="bottom"/>
          </w:tcPr>
          <w:p>
            <w:pPr>
              <w:spacing w:after="0"/>
              <w:rPr>
                <w:sz w:val="18"/>
                <w:szCs w:val="18"/>
                <w:color w:val="auto"/>
              </w:rPr>
            </w:pP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9.9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9.9 years</w:t>
            </w: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tcPr>
          <w:p>
            <w:pPr>
              <w:spacing w:after="0"/>
              <w:rPr>
                <w:sz w:val="18"/>
                <w:szCs w:val="18"/>
                <w:color w:val="auto"/>
              </w:rPr>
            </w:pPr>
          </w:p>
        </w:tc>
      </w:tr>
      <w:tr>
        <w:trPr>
          <w:trHeight w:val="204"/>
        </w:trPr>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1,288,255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996,548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8"/>
        </w:trPr>
        <w:tc>
          <w:tcPr>
            <w:tcW w:w="160" w:type="dxa"/>
            <w:vAlign w:val="bottom"/>
          </w:tcPr>
          <w:p>
            <w:pPr>
              <w:spacing w:after="0"/>
              <w:rPr>
                <w:sz w:val="24"/>
                <w:szCs w:val="24"/>
                <w:color w:val="auto"/>
              </w:rPr>
            </w:pPr>
          </w:p>
        </w:tc>
        <w:tc>
          <w:tcPr>
            <w:tcW w:w="8040" w:type="dxa"/>
            <w:vAlign w:val="bottom"/>
            <w:gridSpan w:val="13"/>
          </w:tcPr>
          <w:p>
            <w:pPr>
              <w:ind w:left="460"/>
              <w:spacing w:after="0"/>
              <w:rPr>
                <w:sz w:val="20"/>
                <w:szCs w:val="20"/>
                <w:color w:val="auto"/>
              </w:rPr>
            </w:pPr>
            <w:r>
              <w:rPr>
                <w:rFonts w:ascii="Times New Roman" w:cs="Times New Roman" w:eastAsia="Times New Roman" w:hAnsi="Times New Roman"/>
                <w:sz w:val="17"/>
                <w:szCs w:val="17"/>
                <w:color w:val="auto"/>
              </w:rPr>
              <w:t>Total stock option activity for the nine months ended September 30, 2023, is summarized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7"/>
        </w:trPr>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gridSpan w:val="6"/>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r>
      <w:tr>
        <w:trPr>
          <w:trHeight w:val="230"/>
        </w:trPr>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r>
      <w:tr>
        <w:trPr>
          <w:trHeight w:val="204"/>
        </w:trPr>
        <w:tc>
          <w:tcPr>
            <w:tcW w:w="32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1,290,325</w:t>
            </w:r>
          </w:p>
        </w:tc>
        <w:tc>
          <w:tcPr>
            <w:tcW w:w="340" w:type="dxa"/>
            <w:vAlign w:val="bottom"/>
          </w:tcPr>
          <w:p>
            <w:pPr>
              <w:spacing w:after="0"/>
              <w:rPr>
                <w:sz w:val="17"/>
                <w:szCs w:val="17"/>
                <w:color w:val="auto"/>
              </w:rPr>
            </w:pPr>
          </w:p>
        </w:tc>
        <w:tc>
          <w:tcPr>
            <w:tcW w:w="5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shd w:val="clear" w:color="auto" w:fill="CCEEFF"/>
          </w:tcPr>
          <w:p>
            <w:pPr>
              <w:spacing w:after="0"/>
              <w:rPr>
                <w:sz w:val="17"/>
                <w:szCs w:val="17"/>
                <w:color w:val="auto"/>
              </w:rPr>
            </w:pPr>
          </w:p>
        </w:tc>
      </w:tr>
      <w:tr>
        <w:trPr>
          <w:trHeight w:val="204"/>
        </w:trPr>
        <w:tc>
          <w:tcPr>
            <w:tcW w:w="1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Exercised</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37"/>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(42,070)</w:t>
            </w: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0.87</w:t>
            </w:r>
          </w:p>
        </w:tc>
        <w:tc>
          <w:tcPr>
            <w:tcW w:w="80" w:type="dxa"/>
            <w:vAlign w:val="bottom"/>
            <w:shd w:val="clear" w:color="auto" w:fill="CCEEFF"/>
          </w:tcPr>
          <w:p>
            <w:pPr>
              <w:spacing w:after="0"/>
              <w:rPr>
                <w:sz w:val="20"/>
                <w:szCs w:val="20"/>
                <w:color w:val="auto"/>
              </w:rPr>
            </w:pPr>
          </w:p>
        </w:tc>
      </w:tr>
      <w:tr>
        <w:trPr>
          <w:trHeight w:val="202"/>
        </w:trPr>
        <w:tc>
          <w:tcPr>
            <w:tcW w:w="322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7"/>
                <w:szCs w:val="17"/>
                <w:color w:val="auto"/>
              </w:rPr>
              <w:t>Outstanding at September 30, 2023</w:t>
            </w:r>
          </w:p>
        </w:tc>
        <w:tc>
          <w:tcPr>
            <w:tcW w:w="1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1,288,255</w:t>
            </w:r>
          </w:p>
        </w:tc>
        <w:tc>
          <w:tcPr>
            <w:tcW w:w="340" w:type="dxa"/>
            <w:vAlign w:val="bottom"/>
            <w:tcBorders>
              <w:top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242,345 shares available for future grant under the 2016 Plan and 1,960,000 available under the 2023 Plan at September 30,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Fair Value Measurements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tables summarize the fair values and levels within the fair value hierarchy in which the fair value measurements fall for assets and liabilities measured on a recurring basis as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30, 2023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40" w:type="dxa"/>
            <w:vAlign w:val="bottom"/>
          </w:tcPr>
          <w:p>
            <w:pPr>
              <w:spacing w:after="0"/>
              <w:rPr>
                <w:sz w:val="20"/>
                <w:szCs w:val="20"/>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warrants</w:t>
            </w:r>
          </w:p>
        </w:tc>
        <w:tc>
          <w:tcPr>
            <w:tcW w:w="140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60,933</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60,933</w:t>
            </w:r>
          </w:p>
        </w:tc>
        <w:tc>
          <w:tcPr>
            <w:tcW w:w="0" w:type="dxa"/>
            <w:vAlign w:val="bottom"/>
          </w:tcPr>
          <w:p>
            <w:pPr>
              <w:spacing w:after="0"/>
              <w:rPr>
                <w:sz w:val="1"/>
                <w:szCs w:val="1"/>
                <w:color w:val="auto"/>
              </w:rPr>
            </w:pPr>
          </w:p>
        </w:tc>
      </w:tr>
      <w:tr>
        <w:trPr>
          <w:trHeight w:val="217"/>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31, 2022</w:t>
            </w: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40" w:type="dxa"/>
            <w:vAlign w:val="bottom"/>
          </w:tcPr>
          <w:p>
            <w:pPr>
              <w:spacing w:after="0"/>
              <w:rPr>
                <w:sz w:val="20"/>
                <w:szCs w:val="20"/>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warrants</w:t>
            </w:r>
          </w:p>
        </w:tc>
        <w:tc>
          <w:tcPr>
            <w:tcW w:w="140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70,283</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70,283</w:t>
            </w: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2022 Convertible Notes</w:t>
            </w:r>
          </w:p>
        </w:tc>
        <w:tc>
          <w:tcPr>
            <w:tcW w:w="140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5,600,000</w:t>
            </w: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5,600,000</w:t>
            </w:r>
          </w:p>
        </w:tc>
        <w:tc>
          <w:tcPr>
            <w:tcW w:w="0" w:type="dxa"/>
            <w:vAlign w:val="bottom"/>
          </w:tcPr>
          <w:p>
            <w:pPr>
              <w:spacing w:after="0"/>
              <w:rPr>
                <w:sz w:val="1"/>
                <w:szCs w:val="1"/>
                <w:color w:val="auto"/>
              </w:rPr>
            </w:pPr>
          </w:p>
        </w:tc>
      </w:tr>
      <w:tr>
        <w:trPr>
          <w:trHeight w:val="202"/>
        </w:trPr>
        <w:tc>
          <w:tcPr>
            <w:tcW w:w="4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5,670,283</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5,670,283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F-41</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60" w:name="page161"/>
    <w:bookmarkEnd w:id="160"/>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16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changes in Level 3 instruments measured on a recurring basis for the period ended September 30, 2023:</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9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140" w:type="dxa"/>
            <w:vAlign w:val="bottom"/>
            <w:gridSpan w:val="2"/>
            <w:shd w:val="clear" w:color="auto" w:fill="CCEEFF"/>
          </w:tcPr>
          <w:p>
            <w:pPr>
              <w:jc w:val="right"/>
              <w:ind w:right="100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5,670,283</w:t>
            </w:r>
          </w:p>
        </w:tc>
        <w:tc>
          <w:tcPr>
            <w:tcW w:w="80" w:type="dxa"/>
            <w:vAlign w:val="bottom"/>
            <w:shd w:val="clear" w:color="auto" w:fill="CCEEFF"/>
          </w:tcPr>
          <w:p>
            <w:pPr>
              <w:spacing w:after="0"/>
              <w:rPr>
                <w:sz w:val="17"/>
                <w:szCs w:val="17"/>
                <w:color w:val="auto"/>
              </w:rPr>
            </w:pPr>
          </w:p>
        </w:tc>
      </w:tr>
      <w:tr>
        <w:trPr>
          <w:trHeight w:val="204"/>
        </w:trPr>
        <w:tc>
          <w:tcPr>
            <w:tcW w:w="9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fair value of warrants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(5,621)</w:t>
            </w:r>
          </w:p>
        </w:tc>
      </w:tr>
      <w:tr>
        <w:trPr>
          <w:trHeight w:val="237"/>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fair value of 2022 Convertible Notes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800,000</w:t>
            </w:r>
          </w:p>
        </w:tc>
        <w:tc>
          <w:tcPr>
            <w:tcW w:w="80" w:type="dxa"/>
            <w:vAlign w:val="bottom"/>
            <w:shd w:val="clear" w:color="auto" w:fill="CCEEFF"/>
          </w:tcPr>
          <w:p>
            <w:pPr>
              <w:spacing w:after="0"/>
              <w:rPr>
                <w:sz w:val="20"/>
                <w:szCs w:val="20"/>
                <w:color w:val="auto"/>
              </w:rPr>
            </w:pPr>
          </w:p>
        </w:tc>
      </w:tr>
      <w:tr>
        <w:trPr>
          <w:trHeight w:val="190"/>
        </w:trPr>
        <w:tc>
          <w:tcPr>
            <w:tcW w:w="90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Balance at March 31, 2023</w:t>
            </w:r>
          </w:p>
        </w:tc>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6,464,662</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4"/>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fair value of warrants</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94,036</w:t>
            </w:r>
          </w:p>
        </w:tc>
        <w:tc>
          <w:tcPr>
            <w:tcW w:w="80" w:type="dxa"/>
            <w:vAlign w:val="bottom"/>
            <w:shd w:val="clear" w:color="auto" w:fill="CCEEFF"/>
          </w:tcPr>
          <w:p>
            <w:pPr>
              <w:spacing w:after="0"/>
              <w:rPr>
                <w:sz w:val="17"/>
                <w:szCs w:val="17"/>
                <w:color w:val="auto"/>
              </w:rPr>
            </w:pPr>
          </w:p>
        </w:tc>
      </w:tr>
      <w:tr>
        <w:trPr>
          <w:trHeight w:val="204"/>
        </w:trPr>
        <w:tc>
          <w:tcPr>
            <w:tcW w:w="9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fair value of 2022 Convertible Notes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2,830,100</w:t>
            </w:r>
          </w:p>
        </w:tc>
        <w:tc>
          <w:tcPr>
            <w:tcW w:w="80" w:type="dxa"/>
            <w:vAlign w:val="bottom"/>
          </w:tcPr>
          <w:p>
            <w:pPr>
              <w:spacing w:after="0"/>
              <w:rPr>
                <w:sz w:val="17"/>
                <w:szCs w:val="17"/>
                <w:color w:val="auto"/>
              </w:rPr>
            </w:pPr>
          </w:p>
        </w:tc>
      </w:tr>
      <w:tr>
        <w:trPr>
          <w:trHeight w:val="237"/>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Conversion of 2022 Convertible Notes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(9,230,100)</w:t>
            </w:r>
          </w:p>
        </w:tc>
      </w:tr>
      <w:tr>
        <w:trPr>
          <w:trHeight w:val="190"/>
        </w:trPr>
        <w:tc>
          <w:tcPr>
            <w:tcW w:w="90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Balance at June 30, 2023</w:t>
            </w:r>
          </w:p>
        </w:tc>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158,698</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7"/>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fair value of warrants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(97,765)</w:t>
            </w:r>
          </w:p>
        </w:tc>
      </w:tr>
      <w:tr>
        <w:trPr>
          <w:trHeight w:val="202"/>
        </w:trPr>
        <w:tc>
          <w:tcPr>
            <w:tcW w:w="9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at September 30, 2023</w:t>
            </w:r>
          </w:p>
        </w:tc>
        <w:tc>
          <w:tcPr>
            <w:tcW w:w="20" w:type="dxa"/>
            <w:vAlign w:val="bottom"/>
            <w:tcBorders>
              <w:top w:val="single" w:sz="8" w:color="CCEEFF"/>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60,933</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September 30, 2023 and December 31, 2022, the Company estimated the fair value of the warrants using the Black-Scholes option 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80" w:type="dxa"/>
            <w:vAlign w:val="bottom"/>
          </w:tcPr>
          <w:p>
            <w:pPr>
              <w:spacing w:after="0"/>
              <w:rPr>
                <w:sz w:val="20"/>
                <w:szCs w:val="20"/>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Underlying common stock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40" w:type="dxa"/>
            <w:vAlign w:val="bottom"/>
            <w:tcBorders>
              <w:top w:val="single" w:sz="8" w:color="CCEEFF"/>
            </w:tcBorders>
            <w:shd w:val="clear" w:color="auto" w:fill="CCEEFF"/>
          </w:tcPr>
          <w:p>
            <w:pPr>
              <w:spacing w:after="0"/>
              <w:rPr>
                <w:sz w:val="17"/>
                <w:szCs w:val="17"/>
                <w:color w:val="auto"/>
              </w:rPr>
            </w:pPr>
          </w:p>
        </w:tc>
      </w:tr>
      <w:tr>
        <w:trPr>
          <w:trHeight w:val="204"/>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60" w:type="dxa"/>
            <w:vAlign w:val="bottom"/>
          </w:tcPr>
          <w:p>
            <w:pPr>
              <w:spacing w:after="0"/>
              <w:rPr>
                <w:sz w:val="17"/>
                <w:szCs w:val="17"/>
                <w:color w:val="auto"/>
              </w:rPr>
            </w:pPr>
          </w:p>
        </w:tc>
        <w:tc>
          <w:tcPr>
            <w:tcW w:w="2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4.54</w:t>
            </w:r>
          </w:p>
        </w:tc>
        <w:tc>
          <w:tcPr>
            <w:tcW w:w="180" w:type="dxa"/>
            <w:vAlign w:val="bottom"/>
          </w:tcPr>
          <w:p>
            <w:pPr>
              <w:spacing w:after="0"/>
              <w:rPr>
                <w:sz w:val="17"/>
                <w:szCs w:val="17"/>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r>
      <w:tr>
        <w:trPr>
          <w:trHeight w:val="20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04"/>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60" w:type="dxa"/>
            <w:vAlign w:val="bottom"/>
          </w:tcPr>
          <w:p>
            <w:pPr>
              <w:spacing w:after="0"/>
              <w:rPr>
                <w:sz w:val="17"/>
                <w:szCs w:val="17"/>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Fluctuation in the fair value of the Company’s Common stock is the primary driver for the change in the Common Stock Warrant liability valuation during each year. As the fair value of the Common stock increases the value to the holder of the instrument generally increases.</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Prior to their redemption, fluctuations in the various inputs, including the enterprise value, time to liquidity, volatility, and discount rate are the primary drivers for the changes in valuation of the 2022 Convertible Notes each reporting period. As the fair value of the enterprise value, estimated time to liquidity, volatility, and discount rate increase, the value to the holder of the 2022 Convertible Notes generally increases.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Net Loss Per Share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Basic and diluted net loss per share were calculated as follows: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numerator for basic and diluted net loss per share is as follows for the nine months ended September 30, 2023 and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2"/>
        </w:trPr>
        <w:tc>
          <w:tcPr>
            <w:tcW w:w="42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80" w:type="dxa"/>
            <w:vAlign w:val="bottom"/>
            <w:tcBorders>
              <w:bottom w:val="single" w:sz="8" w:color="CCEEFF"/>
            </w:tcBorders>
          </w:tcPr>
          <w:p>
            <w:pPr>
              <w:spacing w:after="0"/>
              <w:rPr>
                <w:sz w:val="19"/>
                <w:szCs w:val="19"/>
                <w:color w:val="auto"/>
              </w:rPr>
            </w:pPr>
          </w:p>
        </w:tc>
        <w:tc>
          <w:tcPr>
            <w:tcW w:w="1700" w:type="dxa"/>
            <w:vAlign w:val="bottom"/>
          </w:tcPr>
          <w:p>
            <w:pPr>
              <w:spacing w:after="0"/>
              <w:rPr>
                <w:sz w:val="19"/>
                <w:szCs w:val="19"/>
                <w:color w:val="auto"/>
              </w:rPr>
            </w:pPr>
          </w:p>
        </w:tc>
      </w:tr>
      <w:tr>
        <w:trPr>
          <w:trHeight w:val="20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6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(8,829,996)</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0"/>
              </w:rPr>
              <w:t>(6,633,790)</w:t>
            </w:r>
          </w:p>
        </w:tc>
        <w:tc>
          <w:tcPr>
            <w:tcW w:w="80" w:type="dxa"/>
            <w:vAlign w:val="bottom"/>
            <w:shd w:val="clear" w:color="auto" w:fill="CCEEFF"/>
          </w:tcPr>
          <w:p>
            <w:pPr>
              <w:spacing w:after="0"/>
              <w:rPr>
                <w:sz w:val="17"/>
                <w:szCs w:val="17"/>
                <w:color w:val="auto"/>
              </w:rPr>
            </w:pPr>
          </w:p>
        </w:tc>
        <w:tc>
          <w:tcPr>
            <w:tcW w:w="1700" w:type="dxa"/>
            <w:vAlign w:val="bottom"/>
          </w:tcPr>
          <w:p>
            <w:pPr>
              <w:spacing w:after="0"/>
              <w:rPr>
                <w:sz w:val="17"/>
                <w:szCs w:val="17"/>
                <w:color w:val="auto"/>
              </w:rPr>
            </w:pPr>
          </w:p>
        </w:tc>
      </w:tr>
      <w:tr>
        <w:trPr>
          <w:trHeight w:val="222"/>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(1,355,347)</w:t>
            </w:r>
          </w:p>
        </w:tc>
        <w:tc>
          <w:tcPr>
            <w:tcW w:w="60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(2,076,737)</w:t>
            </w:r>
          </w:p>
        </w:tc>
        <w:tc>
          <w:tcPr>
            <w:tcW w:w="1700" w:type="dxa"/>
            <w:vAlign w:val="bottom"/>
          </w:tcPr>
          <w:p>
            <w:pPr>
              <w:spacing w:after="0"/>
              <w:rPr>
                <w:sz w:val="19"/>
                <w:szCs w:val="19"/>
                <w:color w:val="auto"/>
              </w:rPr>
            </w:pPr>
          </w:p>
        </w:tc>
      </w:tr>
      <w:tr>
        <w:trPr>
          <w:trHeight w:val="204"/>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6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(10,185,343)</w:t>
            </w: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0"/>
              </w:rPr>
              <w:t>(8,710,527)</w:t>
            </w: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Pr>
          <w:p>
            <w:pPr>
              <w:spacing w:after="0"/>
              <w:rPr>
                <w:sz w:val="17"/>
                <w:szCs w:val="17"/>
                <w:color w:val="auto"/>
              </w:rPr>
            </w:pPr>
          </w:p>
        </w:tc>
      </w:tr>
      <w:tr>
        <w:trPr>
          <w:trHeight w:val="414"/>
        </w:trPr>
        <w:tc>
          <w:tcPr>
            <w:tcW w:w="4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7"/>
                <w:szCs w:val="17"/>
                <w:color w:val="auto"/>
              </w:rPr>
              <w:t>F-42</w:t>
            </w: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161" w:name="page162"/>
    <w:bookmarkEnd w:id="161"/>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6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The denominator is as follows for the nine months ended September 30, 2023 and 2022:</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5920" w:type="dxa"/>
            <w:vAlign w:val="bottom"/>
          </w:tcPr>
          <w:p>
            <w:pPr>
              <w:spacing w:after="0"/>
              <w:rPr>
                <w:sz w:val="24"/>
                <w:szCs w:val="24"/>
                <w:color w:val="auto"/>
              </w:rPr>
            </w:pPr>
          </w:p>
        </w:tc>
        <w:tc>
          <w:tcPr>
            <w:tcW w:w="25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59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80" w:type="dxa"/>
            <w:vAlign w:val="bottom"/>
            <w:tcBorders>
              <w:bottom w:val="single" w:sz="8" w:color="CCEEFF"/>
            </w:tcBorders>
          </w:tcPr>
          <w:p>
            <w:pPr>
              <w:spacing w:after="0"/>
              <w:rPr>
                <w:sz w:val="19"/>
                <w:szCs w:val="19"/>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stock outstanding, basic and diluted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5,173,925</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1,043,913</w:t>
            </w:r>
          </w:p>
        </w:tc>
        <w:tc>
          <w:tcPr>
            <w:tcW w:w="80" w:type="dxa"/>
            <w:vAlign w:val="bottom"/>
            <w:shd w:val="clear" w:color="auto" w:fill="CCEEFF"/>
          </w:tcPr>
          <w:p>
            <w:pPr>
              <w:spacing w:after="0"/>
              <w:rPr>
                <w:sz w:val="17"/>
                <w:szCs w:val="17"/>
                <w:color w:val="auto"/>
              </w:rPr>
            </w:pPr>
          </w:p>
        </w:tc>
      </w:tr>
      <w:tr>
        <w:trPr>
          <w:trHeight w:val="222"/>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$0.01 warrants</w:t>
            </w: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7,182</w:t>
            </w:r>
          </w:p>
        </w:tc>
        <w:tc>
          <w:tcPr>
            <w:tcW w:w="6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11,467</w:t>
            </w:r>
          </w:p>
        </w:tc>
      </w:tr>
      <w:tr>
        <w:trPr>
          <w:trHeight w:val="204"/>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5,181,107</w:t>
            </w: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1,055,380</w:t>
            </w:r>
          </w:p>
        </w:tc>
        <w:tc>
          <w:tcPr>
            <w:tcW w:w="80" w:type="dxa"/>
            <w:vAlign w:val="bottom"/>
            <w:tcBorders>
              <w:top w:val="single" w:sz="8" w:color="CCEEFF"/>
            </w:tcBorders>
            <w:shd w:val="clear" w:color="auto" w:fill="CCEEFF"/>
          </w:tcPr>
          <w:p>
            <w:pPr>
              <w:spacing w:after="0"/>
              <w:rPr>
                <w:sz w:val="17"/>
                <w:szCs w:val="17"/>
                <w:color w:val="auto"/>
              </w:rPr>
            </w:pPr>
          </w:p>
        </w:tc>
      </w:tr>
      <w:tr>
        <w:trPr>
          <w:trHeight w:val="409"/>
        </w:trPr>
        <w:tc>
          <w:tcPr>
            <w:tcW w:w="846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Net loss per share, basic and diluted is as follows for the nine months ended September 30, 2023 and 2022:</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59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80" w:type="dxa"/>
            <w:vAlign w:val="bottom"/>
            <w:tcBorders>
              <w:bottom w:val="single" w:sz="8" w:color="CCEEFF"/>
            </w:tcBorders>
          </w:tcPr>
          <w:p>
            <w:pPr>
              <w:spacing w:after="0"/>
              <w:rPr>
                <w:sz w:val="19"/>
                <w:szCs w:val="19"/>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(8.25)</w:t>
            </w: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potential common stock equivalents, presented based on amounts outstanding at each period end, were excluded from the calculation of diluted net loss per share for the periods indicated because including them would have had an anti-dilutive effect:</w:t>
      </w:r>
    </w:p>
    <w:p>
      <w:pPr>
        <w:spacing w:after="0" w:line="162"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to purchase shares of common stock</w:t>
            </w: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1,288,255</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1,290,318</w:t>
            </w:r>
          </w:p>
        </w:tc>
        <w:tc>
          <w:tcPr>
            <w:tcW w:w="100" w:type="dxa"/>
            <w:vAlign w:val="bottom"/>
            <w:shd w:val="clear" w:color="auto" w:fill="CCEEFF"/>
          </w:tcPr>
          <w:p>
            <w:pPr>
              <w:spacing w:after="0"/>
              <w:rPr>
                <w:sz w:val="17"/>
                <w:szCs w:val="17"/>
                <w:color w:val="auto"/>
              </w:rPr>
            </w:pPr>
          </w:p>
        </w:tc>
      </w:tr>
      <w:tr>
        <w:trPr>
          <w:trHeight w:val="222"/>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 outstanding</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323,736</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11,467</w:t>
            </w:r>
          </w:p>
        </w:tc>
      </w:tr>
      <w:tr>
        <w:trPr>
          <w:trHeight w:val="204"/>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1,611,991</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1,301,785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Commitments and Contingencies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is subject to legal proceedings or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Effective January 26, 2022, the Company entered into an Exclusive License Agreement (the License Agreement) with an unrelated third party. Under the License Agreement, the Company is granted an exclusive license for certain patents and a non-exclusive license for certain know-how. The License Agreement continues until the later of the expiration of the last to expire licensed patent or ten years after the first commercial sale of the first licensed therapeutic or non-therapeutic product. The Company may terminate the License Agreement at any time by providing at least 30 days written notice to the third party. The License Agreement is also terminated upon breach of a material obligation under the agreement or bankruptcy. Upon any termination of the License Agreement, neither party is relieved of obligations incurred prior to the termination.</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the nine months ended September 30, 2023 and 2022, the Company capitalized payments made under this license agreement in the amount of $0 and $15,263, respectively. During the nine months ended September 30, 2023, the Company expensed the remainder of the capitalized balance.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2" w:name="page163"/>
    <w:bookmarkEnd w:id="162"/>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Leases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leases office and lab space in Branford, CT; Groton, CT; and Laval, Quebec. The Company’s leases expire at various dates through May 31, 2027. Most leases are for a fixed term and for a fixed amount. The Company is not a party to any leases that have step rent provisions, escalation clauses, capital improvement funding or payment increases based on any index or rate.</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2020, the Company entered into a new lease agreement for the Company’s primary office and laboratory space in Branford, CT. The Branford lease requires monthly payments of $13,033 for the first year of the lease, which increases approximately 2% in each of the following years. The Branford lease also requires the Company to pay a pro-rata share of common area maintenance.</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May 2021, the Company entered into a new lease for office and laboratory space in Groton, CT. The Groton lease required monthly payments of $4,234, which was increased to $6,824 in September 2021 upon leasing additional space. The Groton lease is initially for a one-year term, with up to three additional years renewal available.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Future minimum payments under non-cancelable operating leases with initial or remaining terms in excess of one year during each of the next five years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gridSpan w:val="2"/>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81,354</w:t>
            </w:r>
          </w:p>
        </w:tc>
      </w:tr>
      <w:tr>
        <w:trPr>
          <w:trHeight w:val="204"/>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337,708</w:t>
            </w:r>
          </w:p>
        </w:tc>
      </w:t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278,928</w:t>
            </w:r>
          </w:p>
        </w:tc>
      </w:tr>
      <w:tr>
        <w:trPr>
          <w:trHeight w:val="204"/>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205,877</w:t>
            </w:r>
          </w:p>
        </w:tc>
      </w:t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73,725</w:t>
            </w:r>
          </w:p>
        </w:tc>
      </w:tr>
      <w:tr>
        <w:trPr>
          <w:trHeight w:val="222"/>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90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Total future undiscounted lease payments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977,592</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Less interest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(62,597)</w:t>
            </w:r>
          </w:p>
        </w:tc>
      </w:tr>
      <w:tr>
        <w:trPr>
          <w:trHeight w:val="204"/>
        </w:trPr>
        <w:tc>
          <w:tcPr>
            <w:tcW w:w="890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Present value of minimum lease payments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914,995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Rent expense for all operating leases was $254,142 for the nine months ended September 30, 2023. The weighted average lease term for all operating leases is 3.2 years. The weighted average discount rate for all operating leases is 4.25%.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Finance Leases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2023, the Company entered into an agreement with Hewlett Packard to lease equipment. The lease requires monthly payments of $1,478, including tax. The lease is for a 3-year term with option of purchase or extension at term end. The remaining lease term is 2.8 years and the discount rate is 9.60%.</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is a schedule showing the future minimum lease payments under finance leases by years and the present value of the minimum payments as of September 30, 2023. value of the minimum payments as of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2023</w:t>
            </w:r>
          </w:p>
        </w:tc>
        <w:tc>
          <w:tcPr>
            <w:tcW w:w="980" w:type="dxa"/>
            <w:vAlign w:val="bottom"/>
            <w:gridSpan w:val="2"/>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4,435</w:t>
            </w:r>
          </w:p>
        </w:tc>
      </w:tr>
      <w:tr>
        <w:trPr>
          <w:trHeight w:val="204"/>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17,740</w:t>
            </w:r>
          </w:p>
        </w:tc>
      </w:t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17,740</w:t>
            </w:r>
          </w:p>
        </w:tc>
      </w:tr>
      <w:tr>
        <w:trPr>
          <w:trHeight w:val="204"/>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10,349</w:t>
            </w:r>
          </w:p>
        </w:tc>
      </w:tr>
      <w:tr>
        <w:trPr>
          <w:trHeight w:val="237"/>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0"/>
        </w:trPr>
        <w:tc>
          <w:tcPr>
            <w:tcW w:w="8900" w:type="dxa"/>
            <w:vAlign w:val="bottom"/>
            <w:tcBorders>
              <w:top w:val="single" w:sz="8" w:color="CCEEFF"/>
            </w:tcBorders>
          </w:tcPr>
          <w:p>
            <w:pPr>
              <w:jc w:val="right"/>
              <w:ind w:right="35"/>
              <w:spacing w:after="0" w:line="189" w:lineRule="exact"/>
              <w:rPr>
                <w:sz w:val="20"/>
                <w:szCs w:val="20"/>
                <w:color w:val="auto"/>
              </w:rPr>
            </w:pPr>
            <w:r>
              <w:rPr>
                <w:rFonts w:ascii="Times New Roman" w:cs="Times New Roman" w:eastAsia="Times New Roman" w:hAnsi="Times New Roman"/>
                <w:sz w:val="17"/>
                <w:szCs w:val="17"/>
                <w:color w:val="auto"/>
              </w:rPr>
              <w:t>Total future undiscounted lease payments</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50,264</w:t>
            </w:r>
          </w:p>
        </w:tc>
        <w:tc>
          <w:tcPr>
            <w:tcW w:w="100" w:type="dxa"/>
            <w:vAlign w:val="bottom"/>
            <w:tcBorders>
              <w:top w:val="single" w:sz="8" w:color="CCEEFF"/>
            </w:tcBorders>
          </w:tcPr>
          <w:p>
            <w:pPr>
              <w:spacing w:after="0"/>
              <w:rPr>
                <w:sz w:val="16"/>
                <w:szCs w:val="16"/>
                <w:color w:val="auto"/>
              </w:rPr>
            </w:pPr>
          </w:p>
        </w:tc>
      </w:tr>
      <w:tr>
        <w:trPr>
          <w:trHeight w:val="237"/>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Less interest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(6,058)</w:t>
            </w:r>
          </w:p>
        </w:tc>
      </w:tr>
      <w:tr>
        <w:trPr>
          <w:trHeight w:val="207"/>
        </w:trPr>
        <w:tc>
          <w:tcPr>
            <w:tcW w:w="8900" w:type="dxa"/>
            <w:vAlign w:val="bottom"/>
            <w:tcBorders>
              <w:top w:val="single" w:sz="8" w:color="CCEEFF"/>
            </w:tcBorders>
          </w:tcPr>
          <w:p>
            <w:pPr>
              <w:jc w:val="right"/>
              <w:ind w:right="35"/>
              <w:spacing w:after="0"/>
              <w:rPr>
                <w:sz w:val="20"/>
                <w:szCs w:val="20"/>
                <w:color w:val="auto"/>
              </w:rPr>
            </w:pPr>
            <w:r>
              <w:rPr>
                <w:rFonts w:ascii="Times New Roman" w:cs="Times New Roman" w:eastAsia="Times New Roman" w:hAnsi="Times New Roman"/>
                <w:sz w:val="17"/>
                <w:szCs w:val="17"/>
                <w:color w:val="auto"/>
              </w:rPr>
              <w:t>Present value of minimum lease payments</w:t>
            </w: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44,206</w:t>
            </w:r>
          </w:p>
        </w:tc>
        <w:tc>
          <w:tcPr>
            <w:tcW w:w="100" w:type="dxa"/>
            <w:vAlign w:val="bottom"/>
            <w:tcBorders>
              <w:top w:val="single" w:sz="8" w:color="CCEEFF"/>
            </w:tcBorders>
          </w:tcPr>
          <w:p>
            <w:pPr>
              <w:spacing w:after="0"/>
              <w:rPr>
                <w:sz w:val="18"/>
                <w:szCs w:val="18"/>
                <w:color w:val="auto"/>
              </w:rPr>
            </w:pPr>
          </w:p>
        </w:tc>
      </w:tr>
    </w:tbl>
    <w:p>
      <w:pPr>
        <w:spacing w:after="0" w:line="17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Lease expense for the finance lease was $2,580 for the nine months ended September 30, 2023. Interest expense for the finance lease was $710 for the nine months ended September 30, 2023.</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3" w:name="page164"/>
    <w:bookmarkEnd w:id="163"/>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Retirement Plan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Effective January 1, 2019, the Company sponsors a 401(k) plan that covers substantially all employees. In order to be eligible to participate, an employee must complete two consecutive months of service and work a minimum of two hundred and fifty hours or work 1,000 hours in their first year of service. Employees may make pre-tax deferrals upon meeting the Plan eligibility requirements. Effective January 1, 2020, the Plan was transitioned to a safe harbor plan in which highly compensated employees are not eligible for matching contributions and non-highly compensated employees earn 100% match on first 3% contributed and 50% on the next 2% contributed. Total employer matching contributions were $7,634 for the nine months ended September 30, 2023. Total employer matching contributions were $18,945 for the nine months ended September 30,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Concentration of Credit Risk</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consist principally of cash and accounts receivable.</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the nine months ended September 30, 2023 and 2022, all service revenue was from one customer. For the nine months ended September 30, 2023, there was no grant revenue and for the nine months ended September 30, 2022, all grant revenue was from one grantor.</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cash balance identified in the balance sheet is held in an account with a financial institution and insured by the Federal Deposit Insurance Corporation (FDIC) up to $250,000. At times, cash maintained on deposit may be in excess of FDIC limits.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Related Parties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Total related party revenue was $596,000 for the nine months ended September 30, 2023. Total related party revenue was $253,500 for the nine months ended September 30, 2022. Accounts receivable due from the related party was $0 and $175,000 at September 30, 2023 and December 31, 2022, respectively. Contract liabilities from the related party was $0 and $156,000 at September 30, 2023 and December 31, 2022, respectively.</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September 2022 the Company entered into a convertible promissory note totaling $4,350,000 of which $4,000,000 was attributable to an entity who was also an investor in the Company’s Series A, A-1, and B Preferred Stock financing (See Note 7). This entity received 1,697,490 shares of common stock upon conversion of the promissory notes for principal and interest of $4,243,726.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Subsequent Events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has evaluated events subsequent to the balance sheet date through November 14, 2023, the date these condensed financial statements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3"/>
          <w:szCs w:val="23"/>
          <w:b w:val="1"/>
          <w:bCs w:val="1"/>
          <w:color w:val="auto"/>
        </w:rPr>
        <w:t>16,667,000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1356995</wp:posOffset>
            </wp:positionV>
            <wp:extent cx="179133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91335" cy="16510"/>
                    </a:xfrm>
                    <a:prstGeom prst="rect">
                      <a:avLst/>
                    </a:prstGeom>
                    <a:noFill/>
                  </pic:spPr>
                </pic:pic>
              </a:graphicData>
            </a:graphic>
          </wp:anchor>
        </w:drawing>
        <w:drawing>
          <wp:anchor simplePos="0" relativeHeight="251657728" behindDoc="1" locked="0" layoutInCell="0" allowOverlap="1">
            <wp:simplePos x="0" y="0"/>
            <wp:positionH relativeFrom="column">
              <wp:posOffset>1648460</wp:posOffset>
            </wp:positionH>
            <wp:positionV relativeFrom="paragraph">
              <wp:posOffset>157480</wp:posOffset>
            </wp:positionV>
            <wp:extent cx="2431415" cy="8102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31415" cy="810260"/>
                    </a:xfrm>
                    <a:prstGeom prst="rect">
                      <a:avLst/>
                    </a:prstGeom>
                    <a:noFill/>
                  </pic:spPr>
                </pic:pic>
              </a:graphicData>
            </a:graphic>
          </wp:anchor>
        </w:drawing>
      </w:r>
    </w:p>
    <w:p>
      <w:pPr>
        <w:sectPr>
          <w:pgSz w:w="11900" w:h="16838" w:orient="portrait"/>
          <w:cols w:equalWidth="0" w:num="1">
            <w:col w:w="9019"/>
          </w:cols>
          <w:pgMar w:left="1440" w:top="10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147955</wp:posOffset>
            </wp:positionV>
            <wp:extent cx="179133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9133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ThinkEquity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275590</wp:posOffset>
            </wp:positionV>
            <wp:extent cx="713994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sectPr>
      <w:pgSz w:w="11900" w:h="16838" w:orient="portrait"/>
      <w:cols w:equalWidth="0" w:num="1">
        <w:col w:w="9019"/>
      </w:cols>
      <w:pgMar w:left="1440" w:top="105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1)"/>
      <w:numFmt w:val="decimal"/>
      <w:start w:val="3"/>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lowerRoman"/>
      <w:start w:val="3"/>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decimal"/>
      <w:start w:val="2"/>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9"/>
    </w:lvl>
  </w:abstractNum>
  <w:abstractNum w:abstractNumId="73">
    <w:nsid w:val="7BD3EE7B"/>
    <w:multiLevelType w:val="hybridMultilevel"/>
    <w:lvl w:ilvl="0">
      <w:lvlJc w:val="left"/>
      <w:lvlText w:val="%1."/>
      <w:numFmt w:val="decimal"/>
      <w:start w:val="2"/>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2024-02-15T16:04:20Z</dcterms:created>
  <dcterms:modified xsi:type="dcterms:W3CDTF">2024-02-15T16:04:20Z</dcterms:modified>
</cp:coreProperties>
</file>